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6600"/>
        <w:tblBorders>
          <w:top w:val="none" w:color="auto" w:sz="0"/>
          <w:left w:val="none" w:color="auto" w:sz="0"/>
          <w:bottom w:val="none" w:color="auto" w:sz="0"/>
          <w:right w:val="none" w:color="auto" w:sz="0"/>
          <w:insideH w:val="none" w:color="auto" w:sz="0"/>
          <w:insideV w:val="none" w:color="auto" w:sz="0"/>
        </w:tblBorders>
      </w:tblPr>
      <w:tblGrid>
        <w:gridCol w:w="6600"/>
      </w:tblGrid>
      <w:tr>
        <w:tc>
          <w:tcPr>
            <w:tcW w:type="dxa" w:w="6600"/>
            <w:shd w:fill="15314B" w:color="auto" w:val="clear"/>
            <w:tcMar>
              <w:top w:type="dxa" w:w="500"/>
              <w:left w:type="dxa" w:w="360"/>
              <w:bottom w:type="dxa" w:w="420"/>
              <w:right w:type="dxa" w:w="360"/>
            </w:tcMar>
          </w:tcPr>
          <w:p>
            <w:pPr>
              <w:spacing w:after="420"/>
            </w:pPr>
            <w:r>
              <w:rPr>
                <w:color w:val="9DB0C0"/>
                <w:sz w:val="16"/>
                <w:szCs w:val="16"/>
              </w:rPr>
              <w:t xml:space="preserve">[Company Logo]</w:t>
            </w:r>
          </w:p>
          <w:p>
            <w:pPr>
              <w:spacing w:after="140"/>
            </w:pPr>
            <w:r>
              <w:rPr>
                <w:b/>
                <w:bCs/>
                <w:color w:val="FFFFFF"/>
                <w:sz w:val="46"/>
                <w:szCs w:val="46"/>
              </w:rPr>
              <w:t xml:space="preserve">Ransomware Response Playbook</w:t>
            </w:r>
          </w:p>
          <w:p>
            <w:pPr>
              <w:spacing w:after="300"/>
            </w:pPr>
            <w:r>
              <w:rPr>
                <w:color w:val="C6D4DF"/>
                <w:sz w:val="22"/>
                <w:szCs w:val="22"/>
              </w:rPr>
              <w:t xml:space="preserve">What to do, in what order, and who decides, until recovery is verified</w:t>
            </w:r>
          </w:p>
          <w:p>
            <w:pPr>
              <w:pBdr>
                <w:bottom w:val="single" w:color="C2551D" w:sz="16" w:space="0"/>
              </w:pBdr>
              <w:spacing w:after="230"/>
            </w:pPr>
          </w:p>
          <w:p>
            <w:r>
              <w:rPr>
                <w:b/>
                <w:bCs/>
                <w:color w:val="FFFFFF"/>
              </w:rPr>
              <w:t xml:space="preserve">[Organization Name]</w:t>
            </w:r>
            <w:r>
              <w:t xml:space="preserve">          </w:t>
            </w:r>
            <w:r>
              <w:rPr>
                <w:color w:val="9DB0C0"/>
                <w:sz w:val="18"/>
                <w:szCs w:val="18"/>
              </w:rPr>
              <w:t xml:space="preserve">Classification: Internal Use</w:t>
            </w:r>
          </w:p>
        </w:tc>
      </w:tr>
    </w:tbl>
    <w:p>
      <w:pPr>
        <w:spacing w:after="420"/>
      </w:pPr>
    </w:p>
    <w:tbl>
      <w:tblPr>
        <w:tblW w:type="dxa" w:w="6600"/>
        <w:tblBorders>
          <w:top w:val="single" w:color="D4DAE0" w:sz="4"/>
          <w:left w:val="single" w:color="D4DAE0" w:sz="4"/>
          <w:bottom w:val="single" w:color="D4DAE0" w:sz="4"/>
          <w:right w:val="single" w:color="D4DAE0" w:sz="4"/>
          <w:insideH w:val="single" w:color="D4DAE0" w:sz="4"/>
          <w:insideV w:val="single" w:color="D4DAE0" w:sz="4"/>
        </w:tblBorders>
      </w:tblPr>
      <w:tblGrid>
        <w:gridCol w:w="1900"/>
        <w:gridCol w:w="4700"/>
      </w:tblGrid>
      <w:tr>
        <w:tc>
          <w:tcPr>
            <w:tcW w:type="dxa" w:w="1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7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Document ID</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PRO-RAN-001</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title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Ransomware Response Playbook</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Version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1.0</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Status</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[Draft / Approved]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Effective date</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owner</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[Owner Name, Role]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Approved by</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[Approver Name, Role]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Approval date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Next review</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[Date, no more than 12 months from 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Classification</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Internal Use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Distribution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[Who this is issued to]</w:t>
            </w:r>
          </w:p>
        </w:tc>
      </w:tr>
    </w:tbl>
    <w:p>
      <w:pPr>
        <w:pBdr>
          <w:top w:val="single" w:color="D4DAE0" w:sz="4" w:space="8"/>
        </w:pBdr>
        <w:spacing w:after="0" w:before="700" w:line="252"/>
      </w:pPr>
      <w:r>
        <w:rPr>
          <w:i/>
          <w:iCs/>
          <w:color w:val="60686F"/>
          <w:sz w:val="16"/>
          <w:szCs w:val="16"/>
        </w:rPr>
        <w:t xml:space="preserve">This document and all information contained in it is the property of [Organization Name]. Replace every bracketed field before issue, delete any clause that does not apply to your organization, and have it approved by a person with authority to do so. An unapproved, undated policy is not a control.</w:t>
      </w:r>
    </w:p>
    <w:p>
      <w:pPr>
        <w:pageBreakBefore/>
        <w:spacing w:after="160"/>
      </w:pPr>
      <w:r>
        <w:rPr>
          <w:b/>
          <w:bCs/>
          <w:color w:val="15314B"/>
          <w:sz w:val="27"/>
          <w:szCs w:val="27"/>
        </w:rPr>
        <w:t xml:space="preserve">Table of Contents</w:t>
      </w:r>
    </w:p>
    <w:p>
      <w:pPr>
        <w:pStyle w:val="TOC1"/>
        <w:tabs>
          <w:tab w:val="right" w:leader="dot" w:pos="9746"/>
        </w:tabs>
        <w:spacing w:after="12" w:line="240" w:lineRule="auto"/>
        <w:rPr>
          <w:noProof/>
        </w:rPr>
      </w:pPr>
      <w:r>
        <w:rPr>
          <w:noProof/>
        </w:rPr>
        <w:fldChar w:fldCharType="begin"/>
      </w:r>
      <w:r>
        <w:rPr>
          <w:noProof/>
        </w:rPr>
        <w:instrText xml:space="preserve"> TOC \o "1-2" \h \z \u </w:instrText>
      </w:r>
      <w:r>
        <w:rPr>
          <w:noProof/>
        </w:rPr>
        <w:fldChar w:fldCharType="separate"/>
      </w:r>
      <w:hyperlink w:anchor="_RG0001" w:history="1">
        <w:r>
          <w:rPr>
            <w:noProof/>
            <w:sz w:val="17"/>
          </w:rPr>
          <w:t xml:space="preserve">Executive summary</w:t>
        </w:r>
        <w:r>
          <w:rPr>
            <w:noProof/>
            <w:sz w:val="17"/>
          </w:rPr>
          <w:tab/>
        </w:r>
        <w:r>
          <w:rPr>
            <w:noProof/>
          </w:rPr>
          <w:fldChar w:fldCharType="begin"/>
        </w:r>
        <w:r>
          <w:rPr>
            <w:noProof/>
          </w:rPr>
          <w:instrText xml:space="preserve"> PAGEREF _RG0001 \h </w:instrText>
        </w:r>
        <w:r>
          <w:rPr>
            <w:noProof/>
          </w:rPr>
          <w:fldChar w:fldCharType="separate"/>
        </w:r>
        <w:r>
          <w:rPr>
            <w:noProof/>
            <w:sz w:val="17"/>
          </w:rPr>
          <w:t>3</w:t>
        </w:r>
        <w:r>
          <w:rPr>
            <w:noProof/>
          </w:rPr>
          <w:fldChar w:fldCharType="end"/>
        </w:r>
      </w:hyperlink>
    </w:p>
    <w:p>
      <w:pPr>
        <w:pStyle w:val="TOC1"/>
        <w:tabs>
          <w:tab w:val="right" w:leader="dot" w:pos="9746"/>
        </w:tabs>
        <w:spacing w:after="12" w:line="240" w:lineRule="auto"/>
        <w:rPr>
          <w:noProof/>
        </w:rPr>
      </w:pPr>
      <w:hyperlink w:anchor="_RG0002" w:history="1">
        <w:r>
          <w:rPr>
            <w:noProof/>
            <w:sz w:val="17"/>
          </w:rPr>
          <w:t xml:space="preserve">1.  Purpose, scope and relationship to PLN-IR-001</w:t>
        </w:r>
        <w:r>
          <w:rPr>
            <w:noProof/>
            <w:sz w:val="17"/>
          </w:rPr>
          <w:tab/>
        </w:r>
        <w:r>
          <w:rPr>
            <w:noProof/>
          </w:rPr>
          <w:fldChar w:fldCharType="begin"/>
        </w:r>
        <w:r>
          <w:rPr>
            <w:noProof/>
          </w:rPr>
          <w:instrText xml:space="preserve"> PAGEREF _RG0002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3" w:history="1">
        <w:r>
          <w:rPr>
            <w:noProof/>
            <w:sz w:val="17"/>
          </w:rPr>
          <w:t xml:space="preserve">1.1  Scope</w:t>
        </w:r>
        <w:r>
          <w:rPr>
            <w:noProof/>
            <w:sz w:val="17"/>
          </w:rPr>
          <w:tab/>
        </w:r>
        <w:r>
          <w:rPr>
            <w:noProof/>
          </w:rPr>
          <w:fldChar w:fldCharType="begin"/>
        </w:r>
        <w:r>
          <w:rPr>
            <w:noProof/>
          </w:rPr>
          <w:instrText xml:space="preserve"> PAGEREF _RG0003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4" w:history="1">
        <w:r>
          <w:rPr>
            <w:noProof/>
            <w:sz w:val="17"/>
          </w:rPr>
          <w:t xml:space="preserve">1.2  What PLN-IR-001 provides</w:t>
        </w:r>
        <w:r>
          <w:rPr>
            <w:noProof/>
            <w:sz w:val="17"/>
          </w:rPr>
          <w:tab/>
        </w:r>
        <w:r>
          <w:rPr>
            <w:noProof/>
          </w:rPr>
          <w:fldChar w:fldCharType="begin"/>
        </w:r>
        <w:r>
          <w:rPr>
            <w:noProof/>
          </w:rPr>
          <w:instrText xml:space="preserve"> PAGEREF _RG0004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5" w:history="1">
        <w:r>
          <w:rPr>
            <w:noProof/>
            <w:sz w:val="17"/>
          </w:rPr>
          <w:t xml:space="preserve">1.3  Alignment with NIST SP 800-61 Revision 3</w:t>
        </w:r>
        <w:r>
          <w:rPr>
            <w:noProof/>
            <w:sz w:val="17"/>
          </w:rPr>
          <w:tab/>
        </w:r>
        <w:r>
          <w:rPr>
            <w:noProof/>
          </w:rPr>
          <w:fldChar w:fldCharType="begin"/>
        </w:r>
        <w:r>
          <w:rPr>
            <w:noProof/>
          </w:rPr>
          <w:instrText xml:space="preserve"> PAGEREF _RG0005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6" w:history="1">
        <w:r>
          <w:rPr>
            <w:noProof/>
            <w:sz w:val="17"/>
          </w:rPr>
          <w:t xml:space="preserve">1.4  Source of the response actions</w:t>
        </w:r>
        <w:r>
          <w:rPr>
            <w:noProof/>
            <w:sz w:val="17"/>
          </w:rPr>
          <w:tab/>
        </w:r>
        <w:r>
          <w:rPr>
            <w:noProof/>
          </w:rPr>
          <w:fldChar w:fldCharType="begin"/>
        </w:r>
        <w:r>
          <w:rPr>
            <w:noProof/>
          </w:rPr>
          <w:instrText xml:space="preserve"> PAGEREF _RG0006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7" w:history="1">
        <w:r>
          <w:rPr>
            <w:noProof/>
            <w:sz w:val="17"/>
          </w:rPr>
          <w:t xml:space="preserve">2.  Principles</w:t>
        </w:r>
        <w:r>
          <w:rPr>
            <w:noProof/>
            <w:sz w:val="17"/>
          </w:rPr>
          <w:tab/>
        </w:r>
        <w:r>
          <w:rPr>
            <w:noProof/>
          </w:rPr>
          <w:fldChar w:fldCharType="begin"/>
        </w:r>
        <w:r>
          <w:rPr>
            <w:noProof/>
          </w:rPr>
          <w:instrText xml:space="preserve"> PAGEREF _RG0007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8" w:history="1">
        <w:r>
          <w:rPr>
            <w:noProof/>
            <w:sz w:val="17"/>
          </w:rPr>
          <w:t xml:space="preserve">3.  Decision rights and pre-authorization</w:t>
        </w:r>
        <w:r>
          <w:rPr>
            <w:noProof/>
            <w:sz w:val="17"/>
          </w:rPr>
          <w:tab/>
        </w:r>
        <w:r>
          <w:rPr>
            <w:noProof/>
          </w:rPr>
          <w:fldChar w:fldCharType="begin"/>
        </w:r>
        <w:r>
          <w:rPr>
            <w:noProof/>
          </w:rPr>
          <w:instrText xml:space="preserve"> PAGEREF _RG0008 \h </w:instrText>
        </w:r>
        <w:r>
          <w:rPr>
            <w:noProof/>
          </w:rPr>
          <w:fldChar w:fldCharType="separate"/>
        </w:r>
        <w:r>
          <w:rPr>
            <w:noProof/>
            <w:sz w:val="17"/>
          </w:rPr>
          <w:t>5</w:t>
        </w:r>
        <w:r>
          <w:rPr>
            <w:noProof/>
          </w:rPr>
          <w:fldChar w:fldCharType="end"/>
        </w:r>
      </w:hyperlink>
    </w:p>
    <w:p>
      <w:pPr>
        <w:pStyle w:val="TOC2"/>
        <w:tabs>
          <w:tab w:val="right" w:leader="dot" w:pos="9746"/>
        </w:tabs>
        <w:spacing w:after="12" w:line="240" w:lineRule="auto"/>
        <w:ind w:left="220"/>
        <w:rPr>
          <w:noProof/>
        </w:rPr>
      </w:pPr>
      <w:hyperlink w:anchor="_RG0009" w:history="1">
        <w:r>
          <w:rPr>
            <w:noProof/>
            <w:sz w:val="17"/>
          </w:rPr>
          <w:t xml:space="preserve">3.1  Decisions that are never pre-authorized</w:t>
        </w:r>
        <w:r>
          <w:rPr>
            <w:noProof/>
            <w:sz w:val="17"/>
          </w:rPr>
          <w:tab/>
        </w:r>
        <w:r>
          <w:rPr>
            <w:noProof/>
          </w:rPr>
          <w:fldChar w:fldCharType="begin"/>
        </w:r>
        <w:r>
          <w:rPr>
            <w:noProof/>
          </w:rPr>
          <w:instrText xml:space="preserve"> PAGEREF _RG0009 \h </w:instrText>
        </w:r>
        <w:r>
          <w:rPr>
            <w:noProof/>
          </w:rPr>
          <w:fldChar w:fldCharType="separate"/>
        </w:r>
        <w:r>
          <w:rPr>
            <w:noProof/>
            <w:sz w:val="17"/>
          </w:rPr>
          <w:t>6</w:t>
        </w:r>
        <w:r>
          <w:rPr>
            <w:noProof/>
          </w:rPr>
          <w:fldChar w:fldCharType="end"/>
        </w:r>
      </w:hyperlink>
    </w:p>
    <w:p>
      <w:pPr>
        <w:pStyle w:val="TOC1"/>
        <w:tabs>
          <w:tab w:val="right" w:leader="dot" w:pos="9746"/>
        </w:tabs>
        <w:spacing w:after="12" w:line="240" w:lineRule="auto"/>
        <w:rPr>
          <w:noProof/>
        </w:rPr>
      </w:pPr>
      <w:hyperlink w:anchor="_RG0010" w:history="1">
        <w:r>
          <w:rPr>
            <w:noProof/>
            <w:sz w:val="17"/>
          </w:rPr>
          <w:t xml:space="preserve">4.  Detection signals and declaration</w:t>
        </w:r>
        <w:r>
          <w:rPr>
            <w:noProof/>
            <w:sz w:val="17"/>
          </w:rPr>
          <w:tab/>
        </w:r>
        <w:r>
          <w:rPr>
            <w:noProof/>
          </w:rPr>
          <w:fldChar w:fldCharType="begin"/>
        </w:r>
        <w:r>
          <w:rPr>
            <w:noProof/>
          </w:rPr>
          <w:instrText xml:space="preserve"> PAGEREF _RG0010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11" w:history="1">
        <w:r>
          <w:rPr>
            <w:noProof/>
            <w:sz w:val="17"/>
          </w:rPr>
          <w:t xml:space="preserve">4.1  Signals</w:t>
        </w:r>
        <w:r>
          <w:rPr>
            <w:noProof/>
            <w:sz w:val="17"/>
          </w:rPr>
          <w:tab/>
        </w:r>
        <w:r>
          <w:rPr>
            <w:noProof/>
          </w:rPr>
          <w:fldChar w:fldCharType="begin"/>
        </w:r>
        <w:r>
          <w:rPr>
            <w:noProof/>
          </w:rPr>
          <w:instrText xml:space="preserve"> PAGEREF _RG0011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2" w:history="1">
        <w:r>
          <w:rPr>
            <w:noProof/>
            <w:sz w:val="17"/>
          </w:rPr>
          <w:t xml:space="preserve">4.2  Declaration</w:t>
        </w:r>
        <w:r>
          <w:rPr>
            <w:noProof/>
            <w:sz w:val="17"/>
          </w:rPr>
          <w:tab/>
        </w:r>
        <w:r>
          <w:rPr>
            <w:noProof/>
          </w:rPr>
          <w:fldChar w:fldCharType="begin"/>
        </w:r>
        <w:r>
          <w:rPr>
            <w:noProof/>
          </w:rPr>
          <w:instrText xml:space="preserve"> PAGEREF _RG0012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3" w:history="1">
        <w:r>
          <w:rPr>
            <w:noProof/>
            <w:sz w:val="17"/>
          </w:rPr>
          <w:t xml:space="preserve">4.3  Hoax and opportunistic extortion</w:t>
        </w:r>
        <w:r>
          <w:rPr>
            <w:noProof/>
            <w:sz w:val="17"/>
          </w:rPr>
          <w:tab/>
        </w:r>
        <w:r>
          <w:rPr>
            <w:noProof/>
          </w:rPr>
          <w:fldChar w:fldCharType="begin"/>
        </w:r>
        <w:r>
          <w:rPr>
            <w:noProof/>
          </w:rPr>
          <w:instrText xml:space="preserve"> PAGEREF _RG0013 \h </w:instrText>
        </w:r>
        <w:r>
          <w:rPr>
            <w:noProof/>
          </w:rPr>
          <w:fldChar w:fldCharType="separate"/>
        </w:r>
        <w:r>
          <w:rPr>
            <w:noProof/>
            <w:sz w:val="17"/>
          </w:rPr>
          <w:t>7</w:t>
        </w:r>
        <w:r>
          <w:rPr>
            <w:noProof/>
          </w:rPr>
          <w:fldChar w:fldCharType="end"/>
        </w:r>
      </w:hyperlink>
    </w:p>
    <w:p>
      <w:pPr>
        <w:pStyle w:val="TOC1"/>
        <w:tabs>
          <w:tab w:val="right" w:leader="dot" w:pos="9746"/>
        </w:tabs>
        <w:spacing w:after="12" w:line="240" w:lineRule="auto"/>
        <w:rPr>
          <w:noProof/>
        </w:rPr>
      </w:pPr>
      <w:hyperlink w:anchor="_RG0014" w:history="1">
        <w:r>
          <w:rPr>
            <w:noProof/>
            <w:sz w:val="17"/>
          </w:rPr>
          <w:t xml:space="preserve">5.  The first hour</w:t>
        </w:r>
        <w:r>
          <w:rPr>
            <w:noProof/>
            <w:sz w:val="17"/>
          </w:rPr>
          <w:tab/>
        </w:r>
        <w:r>
          <w:rPr>
            <w:noProof/>
          </w:rPr>
          <w:fldChar w:fldCharType="begin"/>
        </w:r>
        <w:r>
          <w:rPr>
            <w:noProof/>
          </w:rPr>
          <w:instrText xml:space="preserve"> PAGEREF _RG0014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5" w:history="1">
        <w:r>
          <w:rPr>
            <w:noProof/>
            <w:sz w:val="17"/>
          </w:rPr>
          <w:t xml:space="preserve">5.1  What not to do</w:t>
        </w:r>
        <w:r>
          <w:rPr>
            <w:noProof/>
            <w:sz w:val="17"/>
          </w:rPr>
          <w:tab/>
        </w:r>
        <w:r>
          <w:rPr>
            <w:noProof/>
          </w:rPr>
          <w:fldChar w:fldCharType="begin"/>
        </w:r>
        <w:r>
          <w:rPr>
            <w:noProof/>
          </w:rPr>
          <w:instrText xml:space="preserve"> PAGEREF _RG0015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6" w:history="1">
        <w:r>
          <w:rPr>
            <w:noProof/>
            <w:sz w:val="17"/>
          </w:rPr>
          <w:t xml:space="preserve">5.2  Evidence preservation</w:t>
        </w:r>
        <w:r>
          <w:rPr>
            <w:noProof/>
            <w:sz w:val="17"/>
          </w:rPr>
          <w:tab/>
        </w:r>
        <w:r>
          <w:rPr>
            <w:noProof/>
          </w:rPr>
          <w:fldChar w:fldCharType="begin"/>
        </w:r>
        <w:r>
          <w:rPr>
            <w:noProof/>
          </w:rPr>
          <w:instrText xml:space="preserve"> PAGEREF _RG0016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17" w:history="1">
        <w:r>
          <w:rPr>
            <w:noProof/>
            <w:sz w:val="17"/>
          </w:rPr>
          <w:t xml:space="preserve">6.  Response timeline</w:t>
        </w:r>
        <w:r>
          <w:rPr>
            <w:noProof/>
            <w:sz w:val="17"/>
          </w:rPr>
          <w:tab/>
        </w:r>
        <w:r>
          <w:rPr>
            <w:noProof/>
          </w:rPr>
          <w:fldChar w:fldCharType="begin"/>
        </w:r>
        <w:r>
          <w:rPr>
            <w:noProof/>
          </w:rPr>
          <w:instrText xml:space="preserve"> PAGEREF _RG0017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18" w:history="1">
        <w:r>
          <w:rPr>
            <w:noProof/>
            <w:sz w:val="17"/>
          </w:rPr>
          <w:t xml:space="preserve">7.  Containment by priority</w:t>
        </w:r>
        <w:r>
          <w:rPr>
            <w:noProof/>
            <w:sz w:val="17"/>
          </w:rPr>
          <w:tab/>
        </w:r>
        <w:r>
          <w:rPr>
            <w:noProof/>
          </w:rPr>
          <w:fldChar w:fldCharType="begin"/>
        </w:r>
        <w:r>
          <w:rPr>
            <w:noProof/>
          </w:rPr>
          <w:instrText xml:space="preserve"> PAGEREF _RG0018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19" w:history="1">
        <w:r>
          <w:rPr>
            <w:noProof/>
            <w:sz w:val="17"/>
          </w:rPr>
          <w:t xml:space="preserve">7.1  Priority 1: identity</w:t>
        </w:r>
        <w:r>
          <w:rPr>
            <w:noProof/>
            <w:sz w:val="17"/>
          </w:rPr>
          <w:tab/>
        </w:r>
        <w:r>
          <w:rPr>
            <w:noProof/>
          </w:rPr>
          <w:fldChar w:fldCharType="begin"/>
        </w:r>
        <w:r>
          <w:rPr>
            <w:noProof/>
          </w:rPr>
          <w:instrText xml:space="preserve"> PAGEREF _RG0019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0" w:history="1">
        <w:r>
          <w:rPr>
            <w:noProof/>
            <w:sz w:val="17"/>
          </w:rPr>
          <w:t xml:space="preserve">7.2  Priority 2: remote access and entry points</w:t>
        </w:r>
        <w:r>
          <w:rPr>
            <w:noProof/>
            <w:sz w:val="17"/>
          </w:rPr>
          <w:tab/>
        </w:r>
        <w:r>
          <w:rPr>
            <w:noProof/>
          </w:rPr>
          <w:fldChar w:fldCharType="begin"/>
        </w:r>
        <w:r>
          <w:rPr>
            <w:noProof/>
          </w:rPr>
          <w:instrText xml:space="preserve"> PAGEREF _RG0020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1" w:history="1">
        <w:r>
          <w:rPr>
            <w:noProof/>
            <w:sz w:val="17"/>
          </w:rPr>
          <w:t xml:space="preserve">7.3  Priority 3: network segmentation</w:t>
        </w:r>
        <w:r>
          <w:rPr>
            <w:noProof/>
            <w:sz w:val="17"/>
          </w:rPr>
          <w:tab/>
        </w:r>
        <w:r>
          <w:rPr>
            <w:noProof/>
          </w:rPr>
          <w:fldChar w:fldCharType="begin"/>
        </w:r>
        <w:r>
          <w:rPr>
            <w:noProof/>
          </w:rPr>
          <w:instrText xml:space="preserve"> PAGEREF _RG0021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2" w:history="1">
        <w:r>
          <w:rPr>
            <w:noProof/>
            <w:sz w:val="17"/>
          </w:rPr>
          <w:t xml:space="preserve">7.4  Priority 4: persistence</w:t>
        </w:r>
        <w:r>
          <w:rPr>
            <w:noProof/>
            <w:sz w:val="17"/>
          </w:rPr>
          <w:tab/>
        </w:r>
        <w:r>
          <w:rPr>
            <w:noProof/>
          </w:rPr>
          <w:fldChar w:fldCharType="begin"/>
        </w:r>
        <w:r>
          <w:rPr>
            <w:noProof/>
          </w:rPr>
          <w:instrText xml:space="preserve"> PAGEREF _RG0022 \h </w:instrText>
        </w:r>
        <w:r>
          <w:rPr>
            <w:noProof/>
          </w:rPr>
          <w:fldChar w:fldCharType="separate"/>
        </w:r>
        <w:r>
          <w:rPr>
            <w:noProof/>
            <w:sz w:val="17"/>
          </w:rPr>
          <w:t>11</w:t>
        </w:r>
        <w:r>
          <w:rPr>
            <w:noProof/>
          </w:rPr>
          <w:fldChar w:fldCharType="end"/>
        </w:r>
      </w:hyperlink>
    </w:p>
    <w:p>
      <w:pPr>
        <w:pStyle w:val="TOC1"/>
        <w:tabs>
          <w:tab w:val="right" w:leader="dot" w:pos="9746"/>
        </w:tabs>
        <w:spacing w:after="12" w:line="240" w:lineRule="auto"/>
        <w:rPr>
          <w:noProof/>
        </w:rPr>
      </w:pPr>
      <w:hyperlink w:anchor="_RG0023" w:history="1">
        <w:r>
          <w:rPr>
            <w:noProof/>
            <w:sz w:val="17"/>
          </w:rPr>
          <w:t xml:space="preserve">8.  Protecting the backups</w:t>
        </w:r>
        <w:r>
          <w:rPr>
            <w:noProof/>
            <w:sz w:val="17"/>
          </w:rPr>
          <w:tab/>
        </w:r>
        <w:r>
          <w:rPr>
            <w:noProof/>
          </w:rPr>
          <w:fldChar w:fldCharType="begin"/>
        </w:r>
        <w:r>
          <w:rPr>
            <w:noProof/>
          </w:rPr>
          <w:instrText xml:space="preserve"> PAGEREF _RG0023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4" w:history="1">
        <w:r>
          <w:rPr>
            <w:noProof/>
            <w:sz w:val="17"/>
          </w:rPr>
          <w:t xml:space="preserve">8.1  Choosing the restore point</w:t>
        </w:r>
        <w:r>
          <w:rPr>
            <w:noProof/>
            <w:sz w:val="17"/>
          </w:rPr>
          <w:tab/>
        </w:r>
        <w:r>
          <w:rPr>
            <w:noProof/>
          </w:rPr>
          <w:fldChar w:fldCharType="begin"/>
        </w:r>
        <w:r>
          <w:rPr>
            <w:noProof/>
          </w:rPr>
          <w:instrText xml:space="preserve"> PAGEREF _RG0024 \h </w:instrText>
        </w:r>
        <w:r>
          <w:rPr>
            <w:noProof/>
          </w:rPr>
          <w:fldChar w:fldCharType="separate"/>
        </w:r>
        <w:r>
          <w:rPr>
            <w:noProof/>
            <w:sz w:val="17"/>
          </w:rPr>
          <w:t>12</w:t>
        </w:r>
        <w:r>
          <w:rPr>
            <w:noProof/>
          </w:rPr>
          <w:fldChar w:fldCharType="end"/>
        </w:r>
      </w:hyperlink>
    </w:p>
    <w:p>
      <w:pPr>
        <w:pStyle w:val="TOC1"/>
        <w:tabs>
          <w:tab w:val="right" w:leader="dot" w:pos="9746"/>
        </w:tabs>
        <w:spacing w:after="12" w:line="240" w:lineRule="auto"/>
        <w:rPr>
          <w:noProof/>
        </w:rPr>
      </w:pPr>
      <w:hyperlink w:anchor="_RG0025" w:history="1">
        <w:r>
          <w:rPr>
            <w:noProof/>
            <w:sz w:val="17"/>
          </w:rPr>
          <w:t xml:space="preserve">9.  Scoping the incident</w:t>
        </w:r>
        <w:r>
          <w:rPr>
            <w:noProof/>
            <w:sz w:val="17"/>
          </w:rPr>
          <w:tab/>
        </w:r>
        <w:r>
          <w:rPr>
            <w:noProof/>
          </w:rPr>
          <w:fldChar w:fldCharType="begin"/>
        </w:r>
        <w:r>
          <w:rPr>
            <w:noProof/>
          </w:rPr>
          <w:instrText xml:space="preserve"> PAGEREF _RG0025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6" w:history="1">
        <w:r>
          <w:rPr>
            <w:noProof/>
            <w:sz w:val="17"/>
          </w:rPr>
          <w:t xml:space="preserve">9.1  Patient zero and entry point</w:t>
        </w:r>
        <w:r>
          <w:rPr>
            <w:noProof/>
            <w:sz w:val="17"/>
          </w:rPr>
          <w:tab/>
        </w:r>
        <w:r>
          <w:rPr>
            <w:noProof/>
          </w:rPr>
          <w:fldChar w:fldCharType="begin"/>
        </w:r>
        <w:r>
          <w:rPr>
            <w:noProof/>
          </w:rPr>
          <w:instrText xml:space="preserve"> PAGEREF _RG0026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7" w:history="1">
        <w:r>
          <w:rPr>
            <w:noProof/>
            <w:sz w:val="17"/>
          </w:rPr>
          <w:t xml:space="preserve">9.2  Data exfiltration indicators</w:t>
        </w:r>
        <w:r>
          <w:rPr>
            <w:noProof/>
            <w:sz w:val="17"/>
          </w:rPr>
          <w:tab/>
        </w:r>
        <w:r>
          <w:rPr>
            <w:noProof/>
          </w:rPr>
          <w:fldChar w:fldCharType="begin"/>
        </w:r>
        <w:r>
          <w:rPr>
            <w:noProof/>
          </w:rPr>
          <w:instrText xml:space="preserve"> PAGEREF _RG0027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8" w:history="1">
        <w:r>
          <w:rPr>
            <w:noProof/>
            <w:sz w:val="17"/>
          </w:rPr>
          <w:t xml:space="preserve">9.3  Extent of encryption and impact</w:t>
        </w:r>
        <w:r>
          <w:rPr>
            <w:noProof/>
            <w:sz w:val="17"/>
          </w:rPr>
          <w:tab/>
        </w:r>
        <w:r>
          <w:rPr>
            <w:noProof/>
          </w:rPr>
          <w:fldChar w:fldCharType="begin"/>
        </w:r>
        <w:r>
          <w:rPr>
            <w:noProof/>
          </w:rPr>
          <w:instrText xml:space="preserve"> PAGEREF _RG0028 \h </w:instrText>
        </w:r>
        <w:r>
          <w:rPr>
            <w:noProof/>
          </w:rPr>
          <w:fldChar w:fldCharType="separate"/>
        </w:r>
        <w:r>
          <w:rPr>
            <w:noProof/>
            <w:sz w:val="17"/>
          </w:rPr>
          <w:t>13</w:t>
        </w:r>
        <w:r>
          <w:rPr>
            <w:noProof/>
          </w:rPr>
          <w:fldChar w:fldCharType="end"/>
        </w:r>
      </w:hyperlink>
    </w:p>
    <w:p>
      <w:pPr>
        <w:pStyle w:val="TOC1"/>
        <w:tabs>
          <w:tab w:val="right" w:leader="dot" w:pos="9746"/>
        </w:tabs>
        <w:spacing w:after="12" w:line="240" w:lineRule="auto"/>
        <w:rPr>
          <w:noProof/>
        </w:rPr>
      </w:pPr>
      <w:hyperlink w:anchor="_RG0029" w:history="1">
        <w:r>
          <w:rPr>
            <w:noProof/>
            <w:sz w:val="17"/>
          </w:rPr>
          <w:t xml:space="preserve">10.  Notifications</w:t>
        </w:r>
        <w:r>
          <w:rPr>
            <w:noProof/>
            <w:sz w:val="17"/>
          </w:rPr>
          <w:tab/>
        </w:r>
        <w:r>
          <w:rPr>
            <w:noProof/>
          </w:rPr>
          <w:fldChar w:fldCharType="begin"/>
        </w:r>
        <w:r>
          <w:rPr>
            <w:noProof/>
          </w:rPr>
          <w:instrText xml:space="preserve"> PAGEREF _RG0029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30" w:history="1">
        <w:r>
          <w:rPr>
            <w:noProof/>
            <w:sz w:val="17"/>
          </w:rPr>
          <w:t xml:space="preserve">10.1  The insurer and the breach coach</w:t>
        </w:r>
        <w:r>
          <w:rPr>
            <w:noProof/>
            <w:sz w:val="17"/>
          </w:rPr>
          <w:tab/>
        </w:r>
        <w:r>
          <w:rPr>
            <w:noProof/>
          </w:rPr>
          <w:fldChar w:fldCharType="begin"/>
        </w:r>
        <w:r>
          <w:rPr>
            <w:noProof/>
          </w:rPr>
          <w:instrText xml:space="preserve"> PAGEREF _RG0030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1" w:history="1">
        <w:r>
          <w:rPr>
            <w:noProof/>
            <w:sz w:val="17"/>
          </w:rPr>
          <w:t xml:space="preserve">10.2  Legal counsel</w:t>
        </w:r>
        <w:r>
          <w:rPr>
            <w:noProof/>
            <w:sz w:val="17"/>
          </w:rPr>
          <w:tab/>
        </w:r>
        <w:r>
          <w:rPr>
            <w:noProof/>
          </w:rPr>
          <w:fldChar w:fldCharType="begin"/>
        </w:r>
        <w:r>
          <w:rPr>
            <w:noProof/>
          </w:rPr>
          <w:instrText xml:space="preserve"> PAGEREF _RG0031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2" w:history="1">
        <w:r>
          <w:rPr>
            <w:noProof/>
            <w:sz w:val="17"/>
          </w:rPr>
          <w:t xml:space="preserve">10.3  Law enforcement</w:t>
        </w:r>
        <w:r>
          <w:rPr>
            <w:noProof/>
            <w:sz w:val="17"/>
          </w:rPr>
          <w:tab/>
        </w:r>
        <w:r>
          <w:rPr>
            <w:noProof/>
          </w:rPr>
          <w:fldChar w:fldCharType="begin"/>
        </w:r>
        <w:r>
          <w:rPr>
            <w:noProof/>
          </w:rPr>
          <w:instrText xml:space="preserve"> PAGEREF _RG0032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3" w:history="1">
        <w:r>
          <w:rPr>
            <w:noProof/>
            <w:sz w:val="17"/>
          </w:rPr>
          <w:t xml:space="preserve">10.4  CISA and CIRCIA</w:t>
        </w:r>
        <w:r>
          <w:rPr>
            <w:noProof/>
            <w:sz w:val="17"/>
          </w:rPr>
          <w:tab/>
        </w:r>
        <w:r>
          <w:rPr>
            <w:noProof/>
          </w:rPr>
          <w:fldChar w:fldCharType="begin"/>
        </w:r>
        <w:r>
          <w:rPr>
            <w:noProof/>
          </w:rPr>
          <w:instrText xml:space="preserve"> PAGEREF _RG0033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4" w:history="1">
        <w:r>
          <w:rPr>
            <w:noProof/>
            <w:sz w:val="17"/>
          </w:rPr>
          <w:t xml:space="preserve">10.5  Regulators and breach notification</w:t>
        </w:r>
        <w:r>
          <w:rPr>
            <w:noProof/>
            <w:sz w:val="17"/>
          </w:rPr>
          <w:tab/>
        </w:r>
        <w:r>
          <w:rPr>
            <w:noProof/>
          </w:rPr>
          <w:fldChar w:fldCharType="begin"/>
        </w:r>
        <w:r>
          <w:rPr>
            <w:noProof/>
          </w:rPr>
          <w:instrText xml:space="preserve"> PAGEREF _RG0034 \h </w:instrText>
        </w:r>
        <w:r>
          <w:rPr>
            <w:noProof/>
          </w:rPr>
          <w:fldChar w:fldCharType="separate"/>
        </w:r>
        <w:r>
          <w:rPr>
            <w:noProof/>
            <w:sz w:val="17"/>
          </w:rPr>
          <w:t>15</w:t>
        </w:r>
        <w:r>
          <w:rPr>
            <w:noProof/>
          </w:rPr>
          <w:fldChar w:fldCharType="end"/>
        </w:r>
      </w:hyperlink>
    </w:p>
    <w:p>
      <w:pPr>
        <w:pStyle w:val="TOC1"/>
        <w:tabs>
          <w:tab w:val="right" w:leader="dot" w:pos="9746"/>
        </w:tabs>
        <w:spacing w:after="12" w:line="240" w:lineRule="auto"/>
        <w:rPr>
          <w:noProof/>
        </w:rPr>
      </w:pPr>
      <w:hyperlink w:anchor="_RG0035" w:history="1">
        <w:r>
          <w:rPr>
            <w:noProof/>
            <w:sz w:val="17"/>
          </w:rPr>
          <w:t xml:space="preserve">11.  The ransom decision framework</w:t>
        </w:r>
        <w:r>
          <w:rPr>
            <w:noProof/>
            <w:sz w:val="17"/>
          </w:rPr>
          <w:tab/>
        </w:r>
        <w:r>
          <w:rPr>
            <w:noProof/>
          </w:rPr>
          <w:fldChar w:fldCharType="begin"/>
        </w:r>
        <w:r>
          <w:rPr>
            <w:noProof/>
          </w:rPr>
          <w:instrText xml:space="preserve"> PAGEREF _RG0035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6" w:history="1">
        <w:r>
          <w:rPr>
            <w:noProof/>
            <w:sz w:val="17"/>
          </w:rPr>
          <w:t xml:space="preserve">11.1  Who decides</w:t>
        </w:r>
        <w:r>
          <w:rPr>
            <w:noProof/>
            <w:sz w:val="17"/>
          </w:rPr>
          <w:tab/>
        </w:r>
        <w:r>
          <w:rPr>
            <w:noProof/>
          </w:rPr>
          <w:fldChar w:fldCharType="begin"/>
        </w:r>
        <w:r>
          <w:rPr>
            <w:noProof/>
          </w:rPr>
          <w:instrText xml:space="preserve"> PAGEREF _RG0036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7" w:history="1">
        <w:r>
          <w:rPr>
            <w:noProof/>
            <w:sz w:val="17"/>
          </w:rPr>
          <w:t xml:space="preserve">11.2  Sanctions risk</w:t>
        </w:r>
        <w:r>
          <w:rPr>
            <w:noProof/>
            <w:sz w:val="17"/>
          </w:rPr>
          <w:tab/>
        </w:r>
        <w:r>
          <w:rPr>
            <w:noProof/>
          </w:rPr>
          <w:fldChar w:fldCharType="begin"/>
        </w:r>
        <w:r>
          <w:rPr>
            <w:noProof/>
          </w:rPr>
          <w:instrText xml:space="preserve"> PAGEREF _RG0037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38" w:history="1">
        <w:r>
          <w:rPr>
            <w:noProof/>
            <w:sz w:val="17"/>
          </w:rPr>
          <w:t xml:space="preserve">11.3  Decision criteria</w:t>
        </w:r>
        <w:r>
          <w:rPr>
            <w:noProof/>
            <w:sz w:val="17"/>
          </w:rPr>
          <w:tab/>
        </w:r>
        <w:r>
          <w:rPr>
            <w:noProof/>
          </w:rPr>
          <w:fldChar w:fldCharType="begin"/>
        </w:r>
        <w:r>
          <w:rPr>
            <w:noProof/>
          </w:rPr>
          <w:instrText xml:space="preserve"> PAGEREF _RG0038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9" w:history="1">
        <w:r>
          <w:rPr>
            <w:noProof/>
            <w:sz w:val="17"/>
          </w:rPr>
          <w:t xml:space="preserve">12.  Eradication</w:t>
        </w:r>
        <w:r>
          <w:rPr>
            <w:noProof/>
            <w:sz w:val="17"/>
          </w:rPr>
          <w:tab/>
        </w:r>
        <w:r>
          <w:rPr>
            <w:noProof/>
          </w:rPr>
          <w:fldChar w:fldCharType="begin"/>
        </w:r>
        <w:r>
          <w:rPr>
            <w:noProof/>
          </w:rPr>
          <w:instrText xml:space="preserve"> PAGEREF _RG0039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0" w:history="1">
        <w:r>
          <w:rPr>
            <w:noProof/>
            <w:sz w:val="17"/>
          </w:rPr>
          <w:t xml:space="preserve">12.1  Eradication actions</w:t>
        </w:r>
        <w:r>
          <w:rPr>
            <w:noProof/>
            <w:sz w:val="17"/>
          </w:rPr>
          <w:tab/>
        </w:r>
        <w:r>
          <w:rPr>
            <w:noProof/>
          </w:rPr>
          <w:fldChar w:fldCharType="begin"/>
        </w:r>
        <w:r>
          <w:rPr>
            <w:noProof/>
          </w:rPr>
          <w:instrText xml:space="preserve"> PAGEREF _RG0040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1" w:history="1">
        <w:r>
          <w:rPr>
            <w:noProof/>
            <w:sz w:val="17"/>
          </w:rPr>
          <w:t xml:space="preserve">12.2  Heightened monitoring</w:t>
        </w:r>
        <w:r>
          <w:rPr>
            <w:noProof/>
            <w:sz w:val="17"/>
          </w:rPr>
          <w:tab/>
        </w:r>
        <w:r>
          <w:rPr>
            <w:noProof/>
          </w:rPr>
          <w:fldChar w:fldCharType="begin"/>
        </w:r>
        <w:r>
          <w:rPr>
            <w:noProof/>
          </w:rPr>
          <w:instrText xml:space="preserve"> PAGEREF _RG0041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2" w:history="1">
        <w:r>
          <w:rPr>
            <w:noProof/>
            <w:sz w:val="17"/>
          </w:rPr>
          <w:t xml:space="preserve">12.3  Closure criteria</w:t>
        </w:r>
        <w:r>
          <w:rPr>
            <w:noProof/>
            <w:sz w:val="17"/>
          </w:rPr>
          <w:tab/>
        </w:r>
        <w:r>
          <w:rPr>
            <w:noProof/>
          </w:rPr>
          <w:fldChar w:fldCharType="begin"/>
        </w:r>
        <w:r>
          <w:rPr>
            <w:noProof/>
          </w:rPr>
          <w:instrText xml:space="preserve"> PAGEREF _RG0042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43" w:history="1">
        <w:r>
          <w:rPr>
            <w:noProof/>
            <w:sz w:val="17"/>
          </w:rPr>
          <w:t xml:space="preserve">13.  Recovery</w:t>
        </w:r>
        <w:r>
          <w:rPr>
            <w:noProof/>
            <w:sz w:val="17"/>
          </w:rPr>
          <w:tab/>
        </w:r>
        <w:r>
          <w:rPr>
            <w:noProof/>
          </w:rPr>
          <w:fldChar w:fldCharType="begin"/>
        </w:r>
        <w:r>
          <w:rPr>
            <w:noProof/>
          </w:rPr>
          <w:instrText xml:space="preserve"> PAGEREF _RG0043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4" w:history="1">
        <w:r>
          <w:rPr>
            <w:noProof/>
            <w:sz w:val="17"/>
          </w:rPr>
          <w:t xml:space="preserve">13.1  Recovery order by dependency</w:t>
        </w:r>
        <w:r>
          <w:rPr>
            <w:noProof/>
            <w:sz w:val="17"/>
          </w:rPr>
          <w:tab/>
        </w:r>
        <w:r>
          <w:rPr>
            <w:noProof/>
          </w:rPr>
          <w:fldChar w:fldCharType="begin"/>
        </w:r>
        <w:r>
          <w:rPr>
            <w:noProof/>
          </w:rPr>
          <w:instrText xml:space="preserve"> PAGEREF _RG0044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5" w:history="1">
        <w:r>
          <w:rPr>
            <w:noProof/>
            <w:sz w:val="17"/>
          </w:rPr>
          <w:t xml:space="preserve">13.2  Rebuild or restore</w:t>
        </w:r>
        <w:r>
          <w:rPr>
            <w:noProof/>
            <w:sz w:val="17"/>
          </w:rPr>
          <w:tab/>
        </w:r>
        <w:r>
          <w:rPr>
            <w:noProof/>
          </w:rPr>
          <w:fldChar w:fldCharType="begin"/>
        </w:r>
        <w:r>
          <w:rPr>
            <w:noProof/>
          </w:rPr>
          <w:instrText xml:space="preserve"> PAGEREF _RG0045 \h </w:instrText>
        </w:r>
        <w:r>
          <w:rPr>
            <w:noProof/>
          </w:rPr>
          <w:fldChar w:fldCharType="separate"/>
        </w:r>
        <w:r>
          <w:rPr>
            <w:noProof/>
            <w:sz w:val="17"/>
          </w:rPr>
          <w:t>18</w:t>
        </w:r>
        <w:r>
          <w:rPr>
            <w:noProof/>
          </w:rPr>
          <w:fldChar w:fldCharType="end"/>
        </w:r>
      </w:hyperlink>
    </w:p>
    <w:p>
      <w:pPr>
        <w:pStyle w:val="TOC2"/>
        <w:tabs>
          <w:tab w:val="right" w:leader="dot" w:pos="9746"/>
        </w:tabs>
        <w:spacing w:after="12" w:line="240" w:lineRule="auto"/>
        <w:ind w:left="220"/>
        <w:rPr>
          <w:noProof/>
        </w:rPr>
      </w:pPr>
      <w:hyperlink w:anchor="_RG0046" w:history="1">
        <w:r>
          <w:rPr>
            <w:noProof/>
            <w:sz w:val="17"/>
          </w:rPr>
          <w:t xml:space="preserve">13.3  Restoring data</w:t>
        </w:r>
        <w:r>
          <w:rPr>
            <w:noProof/>
            <w:sz w:val="17"/>
          </w:rPr>
          <w:tab/>
        </w:r>
        <w:r>
          <w:rPr>
            <w:noProof/>
          </w:rPr>
          <w:fldChar w:fldCharType="begin"/>
        </w:r>
        <w:r>
          <w:rPr>
            <w:noProof/>
          </w:rPr>
          <w:instrText xml:space="preserve"> PAGEREF _RG0046 \h </w:instrText>
        </w:r>
        <w:r>
          <w:rPr>
            <w:noProof/>
          </w:rPr>
          <w:fldChar w:fldCharType="separate"/>
        </w:r>
        <w:r>
          <w:rPr>
            <w:noProof/>
            <w:sz w:val="17"/>
          </w:rPr>
          <w:t>18</w:t>
        </w:r>
        <w:r>
          <w:rPr>
            <w:noProof/>
          </w:rPr>
          <w:fldChar w:fldCharType="end"/>
        </w:r>
      </w:hyperlink>
    </w:p>
    <w:p>
      <w:pPr>
        <w:pStyle w:val="TOC2"/>
        <w:tabs>
          <w:tab w:val="right" w:leader="dot" w:pos="9746"/>
        </w:tabs>
        <w:spacing w:after="12" w:line="240" w:lineRule="auto"/>
        <w:ind w:left="220"/>
        <w:rPr>
          <w:noProof/>
        </w:rPr>
      </w:pPr>
      <w:hyperlink w:anchor="_RG0047" w:history="1">
        <w:r>
          <w:rPr>
            <w:noProof/>
            <w:sz w:val="17"/>
          </w:rPr>
          <w:t xml:space="preserve">13.4  Validation before reconnection</w:t>
        </w:r>
        <w:r>
          <w:rPr>
            <w:noProof/>
            <w:sz w:val="17"/>
          </w:rPr>
          <w:tab/>
        </w:r>
        <w:r>
          <w:rPr>
            <w:noProof/>
          </w:rPr>
          <w:fldChar w:fldCharType="begin"/>
        </w:r>
        <w:r>
          <w:rPr>
            <w:noProof/>
          </w:rPr>
          <w:instrText xml:space="preserve"> PAGEREF _RG0047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8" w:history="1">
        <w:r>
          <w:rPr>
            <w:noProof/>
            <w:sz w:val="17"/>
          </w:rPr>
          <w:t xml:space="preserve">14.  Communications</w:t>
        </w:r>
        <w:r>
          <w:rPr>
            <w:noProof/>
            <w:sz w:val="17"/>
          </w:rPr>
          <w:tab/>
        </w:r>
        <w:r>
          <w:rPr>
            <w:noProof/>
          </w:rPr>
          <w:fldChar w:fldCharType="begin"/>
        </w:r>
        <w:r>
          <w:rPr>
            <w:noProof/>
          </w:rPr>
          <w:instrText xml:space="preserve"> PAGEREF _RG0048 \h </w:instrText>
        </w:r>
        <w:r>
          <w:rPr>
            <w:noProof/>
          </w:rPr>
          <w:fldChar w:fldCharType="separate"/>
        </w:r>
        <w:r>
          <w:rPr>
            <w:noProof/>
            <w:sz w:val="17"/>
          </w:rPr>
          <w:t>19</w:t>
        </w:r>
        <w:r>
          <w:rPr>
            <w:noProof/>
          </w:rPr>
          <w:fldChar w:fldCharType="end"/>
        </w:r>
      </w:hyperlink>
    </w:p>
    <w:p>
      <w:pPr>
        <w:pStyle w:val="TOC2"/>
        <w:tabs>
          <w:tab w:val="right" w:leader="dot" w:pos="9746"/>
        </w:tabs>
        <w:spacing w:after="12" w:line="240" w:lineRule="auto"/>
        <w:ind w:left="220"/>
        <w:rPr>
          <w:noProof/>
        </w:rPr>
      </w:pPr>
      <w:hyperlink w:anchor="_RG0049" w:history="1">
        <w:r>
          <w:rPr>
            <w:noProof/>
            <w:sz w:val="17"/>
          </w:rPr>
          <w:t xml:space="preserve">14.1  Audiences and timing</w:t>
        </w:r>
        <w:r>
          <w:rPr>
            <w:noProof/>
            <w:sz w:val="17"/>
          </w:rPr>
          <w:tab/>
        </w:r>
        <w:r>
          <w:rPr>
            <w:noProof/>
          </w:rPr>
          <w:fldChar w:fldCharType="begin"/>
        </w:r>
        <w:r>
          <w:rPr>
            <w:noProof/>
          </w:rPr>
          <w:instrText xml:space="preserve"> PAGEREF _RG0049 \h </w:instrText>
        </w:r>
        <w:r>
          <w:rPr>
            <w:noProof/>
          </w:rPr>
          <w:fldChar w:fldCharType="separate"/>
        </w:r>
        <w:r>
          <w:rPr>
            <w:noProof/>
            <w:sz w:val="17"/>
          </w:rPr>
          <w:t>19</w:t>
        </w:r>
        <w:r>
          <w:rPr>
            <w:noProof/>
          </w:rPr>
          <w:fldChar w:fldCharType="end"/>
        </w:r>
      </w:hyperlink>
    </w:p>
    <w:p>
      <w:pPr>
        <w:pStyle w:val="TOC2"/>
        <w:tabs>
          <w:tab w:val="right" w:leader="dot" w:pos="9746"/>
        </w:tabs>
        <w:spacing w:after="12" w:line="240" w:lineRule="auto"/>
        <w:ind w:left="220"/>
        <w:rPr>
          <w:noProof/>
        </w:rPr>
      </w:pPr>
      <w:hyperlink w:anchor="_RG0050" w:history="1">
        <w:r>
          <w:rPr>
            <w:noProof/>
            <w:sz w:val="17"/>
          </w:rPr>
          <w:t xml:space="preserve">14.2  Rules for every statement</w:t>
        </w:r>
        <w:r>
          <w:rPr>
            <w:noProof/>
            <w:sz w:val="17"/>
          </w:rPr>
          <w:tab/>
        </w:r>
        <w:r>
          <w:rPr>
            <w:noProof/>
          </w:rPr>
          <w:fldChar w:fldCharType="begin"/>
        </w:r>
        <w:r>
          <w:rPr>
            <w:noProof/>
          </w:rPr>
          <w:instrText xml:space="preserve"> PAGEREF _RG0050 \h </w:instrText>
        </w:r>
        <w:r>
          <w:rPr>
            <w:noProof/>
          </w:rPr>
          <w:fldChar w:fldCharType="separate"/>
        </w:r>
        <w:r>
          <w:rPr>
            <w:noProof/>
            <w:sz w:val="17"/>
          </w:rPr>
          <w:t>19</w:t>
        </w:r>
        <w:r>
          <w:rPr>
            <w:noProof/>
          </w:rPr>
          <w:fldChar w:fldCharType="end"/>
        </w:r>
      </w:hyperlink>
    </w:p>
    <w:p>
      <w:pPr>
        <w:pStyle w:val="TOC2"/>
        <w:tabs>
          <w:tab w:val="right" w:leader="dot" w:pos="9746"/>
        </w:tabs>
        <w:spacing w:after="12" w:line="240" w:lineRule="auto"/>
        <w:ind w:left="220"/>
        <w:rPr>
          <w:noProof/>
        </w:rPr>
      </w:pPr>
      <w:hyperlink w:anchor="_RG0051" w:history="1">
        <w:r>
          <w:rPr>
            <w:noProof/>
            <w:sz w:val="17"/>
          </w:rPr>
          <w:t xml:space="preserve">14.3  Contact from the attacker</w:t>
        </w:r>
        <w:r>
          <w:rPr>
            <w:noProof/>
            <w:sz w:val="17"/>
          </w:rPr>
          <w:tab/>
        </w:r>
        <w:r>
          <w:rPr>
            <w:noProof/>
          </w:rPr>
          <w:fldChar w:fldCharType="begin"/>
        </w:r>
        <w:r>
          <w:rPr>
            <w:noProof/>
          </w:rPr>
          <w:instrText xml:space="preserve"> PAGEREF _RG0051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52" w:history="1">
        <w:r>
          <w:rPr>
            <w:noProof/>
            <w:sz w:val="17"/>
          </w:rPr>
          <w:t xml:space="preserve">15.  Post-incident review and hardening</w:t>
        </w:r>
        <w:r>
          <w:rPr>
            <w:noProof/>
            <w:sz w:val="17"/>
          </w:rPr>
          <w:tab/>
        </w:r>
        <w:r>
          <w:rPr>
            <w:noProof/>
          </w:rPr>
          <w:fldChar w:fldCharType="begin"/>
        </w:r>
        <w:r>
          <w:rPr>
            <w:noProof/>
          </w:rPr>
          <w:instrText xml:space="preserve"> PAGEREF _RG0052 \h </w:instrText>
        </w:r>
        <w:r>
          <w:rPr>
            <w:noProof/>
          </w:rPr>
          <w:fldChar w:fldCharType="separate"/>
        </w:r>
        <w:r>
          <w:rPr>
            <w:noProof/>
            <w:sz w:val="17"/>
          </w:rPr>
          <w:t>20</w:t>
        </w:r>
        <w:r>
          <w:rPr>
            <w:noProof/>
          </w:rPr>
          <w:fldChar w:fldCharType="end"/>
        </w:r>
      </w:hyperlink>
    </w:p>
    <w:p>
      <w:pPr>
        <w:pStyle w:val="TOC2"/>
        <w:tabs>
          <w:tab w:val="right" w:leader="dot" w:pos="9746"/>
        </w:tabs>
        <w:spacing w:after="12" w:line="240" w:lineRule="auto"/>
        <w:ind w:left="220"/>
        <w:rPr>
          <w:noProof/>
        </w:rPr>
      </w:pPr>
      <w:hyperlink w:anchor="_RG0053" w:history="1">
        <w:r>
          <w:rPr>
            <w:noProof/>
            <w:sz w:val="17"/>
          </w:rPr>
          <w:t xml:space="preserve">15.1  Questions the review must answer</w:t>
        </w:r>
        <w:r>
          <w:rPr>
            <w:noProof/>
            <w:sz w:val="17"/>
          </w:rPr>
          <w:tab/>
        </w:r>
        <w:r>
          <w:rPr>
            <w:noProof/>
          </w:rPr>
          <w:fldChar w:fldCharType="begin"/>
        </w:r>
        <w:r>
          <w:rPr>
            <w:noProof/>
          </w:rPr>
          <w:instrText xml:space="preserve"> PAGEREF _RG0053 \h </w:instrText>
        </w:r>
        <w:r>
          <w:rPr>
            <w:noProof/>
          </w:rPr>
          <w:fldChar w:fldCharType="separate"/>
        </w:r>
        <w:r>
          <w:rPr>
            <w:noProof/>
            <w:sz w:val="17"/>
          </w:rPr>
          <w:t>20</w:t>
        </w:r>
        <w:r>
          <w:rPr>
            <w:noProof/>
          </w:rPr>
          <w:fldChar w:fldCharType="end"/>
        </w:r>
      </w:hyperlink>
    </w:p>
    <w:p>
      <w:pPr>
        <w:pStyle w:val="TOC2"/>
        <w:tabs>
          <w:tab w:val="right" w:leader="dot" w:pos="9746"/>
        </w:tabs>
        <w:spacing w:after="12" w:line="240" w:lineRule="auto"/>
        <w:ind w:left="220"/>
        <w:rPr>
          <w:noProof/>
        </w:rPr>
      </w:pPr>
      <w:hyperlink w:anchor="_RG0054" w:history="1">
        <w:r>
          <w:rPr>
            <w:noProof/>
            <w:sz w:val="17"/>
          </w:rPr>
          <w:t xml:space="preserve">15.2  Hardening priorities</w:t>
        </w:r>
        <w:r>
          <w:rPr>
            <w:noProof/>
            <w:sz w:val="17"/>
          </w:rPr>
          <w:tab/>
        </w:r>
        <w:r>
          <w:rPr>
            <w:noProof/>
          </w:rPr>
          <w:fldChar w:fldCharType="begin"/>
        </w:r>
        <w:r>
          <w:rPr>
            <w:noProof/>
          </w:rPr>
          <w:instrText xml:space="preserve"> PAGEREF _RG0054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55" w:history="1">
        <w:r>
          <w:rPr>
            <w:noProof/>
            <w:sz w:val="17"/>
          </w:rPr>
          <w:t xml:space="preserve">16.  Roles and responsibilities</w:t>
        </w:r>
        <w:r>
          <w:rPr>
            <w:noProof/>
            <w:sz w:val="17"/>
          </w:rPr>
          <w:tab/>
        </w:r>
        <w:r>
          <w:rPr>
            <w:noProof/>
          </w:rPr>
          <w:fldChar w:fldCharType="begin"/>
        </w:r>
        <w:r>
          <w:rPr>
            <w:noProof/>
          </w:rPr>
          <w:instrText xml:space="preserve"> PAGEREF _RG0055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56" w:history="1">
        <w:r>
          <w:rPr>
            <w:noProof/>
            <w:sz w:val="17"/>
          </w:rPr>
          <w:t xml:space="preserve">17.  Evidence of operation</w:t>
        </w:r>
        <w:r>
          <w:rPr>
            <w:noProof/>
            <w:sz w:val="17"/>
          </w:rPr>
          <w:tab/>
        </w:r>
        <w:r>
          <w:rPr>
            <w:noProof/>
          </w:rPr>
          <w:fldChar w:fldCharType="begin"/>
        </w:r>
        <w:r>
          <w:rPr>
            <w:noProof/>
          </w:rPr>
          <w:instrText xml:space="preserve"> PAGEREF _RG0056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57" w:history="1">
        <w:r>
          <w:rPr>
            <w:noProof/>
            <w:sz w:val="17"/>
          </w:rPr>
          <w:t xml:space="preserve">18.  What this document cannot do</w:t>
        </w:r>
        <w:r>
          <w:rPr>
            <w:noProof/>
            <w:sz w:val="17"/>
          </w:rPr>
          <w:tab/>
        </w:r>
        <w:r>
          <w:rPr>
            <w:noProof/>
          </w:rPr>
          <w:fldChar w:fldCharType="begin"/>
        </w:r>
        <w:r>
          <w:rPr>
            <w:noProof/>
          </w:rPr>
          <w:instrText xml:space="preserve"> PAGEREF _RG0057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58" w:history="1">
        <w:r>
          <w:rPr>
            <w:noProof/>
            <w:sz w:val="17"/>
          </w:rPr>
          <w:t xml:space="preserve">Appendix A.  First-hour checklist</w:t>
        </w:r>
        <w:r>
          <w:rPr>
            <w:noProof/>
            <w:sz w:val="17"/>
          </w:rPr>
          <w:tab/>
        </w:r>
        <w:r>
          <w:rPr>
            <w:noProof/>
          </w:rPr>
          <w:fldChar w:fldCharType="begin"/>
        </w:r>
        <w:r>
          <w:rPr>
            <w:noProof/>
          </w:rPr>
          <w:instrText xml:space="preserve"> PAGEREF _RG0058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59" w:history="1">
        <w:r>
          <w:rPr>
            <w:noProof/>
            <w:sz w:val="17"/>
          </w:rPr>
          <w:t xml:space="preserve">Appendix B.  Containment checklist</w:t>
        </w:r>
        <w:r>
          <w:rPr>
            <w:noProof/>
            <w:sz w:val="17"/>
          </w:rPr>
          <w:tab/>
        </w:r>
        <w:r>
          <w:rPr>
            <w:noProof/>
          </w:rPr>
          <w:fldChar w:fldCharType="begin"/>
        </w:r>
        <w:r>
          <w:rPr>
            <w:noProof/>
          </w:rPr>
          <w:instrText xml:space="preserve"> PAGEREF _RG0059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60" w:history="1">
        <w:r>
          <w:rPr>
            <w:noProof/>
            <w:sz w:val="17"/>
          </w:rPr>
          <w:t xml:space="preserve">Appendix C.  Notification tracker</w:t>
        </w:r>
        <w:r>
          <w:rPr>
            <w:noProof/>
            <w:sz w:val="17"/>
          </w:rPr>
          <w:tab/>
        </w:r>
        <w:r>
          <w:rPr>
            <w:noProof/>
          </w:rPr>
          <w:fldChar w:fldCharType="begin"/>
        </w:r>
        <w:r>
          <w:rPr>
            <w:noProof/>
          </w:rPr>
          <w:instrText xml:space="preserve"> PAGEREF _RG0060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61" w:history="1">
        <w:r>
          <w:rPr>
            <w:noProof/>
            <w:sz w:val="17"/>
          </w:rPr>
          <w:t xml:space="preserve">Appendix D.  Ransom decision record</w:t>
        </w:r>
        <w:r>
          <w:rPr>
            <w:noProof/>
            <w:sz w:val="17"/>
          </w:rPr>
          <w:tab/>
        </w:r>
        <w:r>
          <w:rPr>
            <w:noProof/>
          </w:rPr>
          <w:fldChar w:fldCharType="begin"/>
        </w:r>
        <w:r>
          <w:rPr>
            <w:noProof/>
          </w:rPr>
          <w:instrText xml:space="preserve"> PAGEREF _RG0061 \h </w:instrText>
        </w:r>
        <w:r>
          <w:rPr>
            <w:noProof/>
          </w:rPr>
          <w:fldChar w:fldCharType="separate"/>
        </w:r>
        <w:r>
          <w:rPr>
            <w:noProof/>
            <w:sz w:val="17"/>
          </w:rPr>
          <w:t>26</w:t>
        </w:r>
        <w:r>
          <w:rPr>
            <w:noProof/>
          </w:rPr>
          <w:fldChar w:fldCharType="end"/>
        </w:r>
      </w:hyperlink>
    </w:p>
    <w:p>
      <w:pPr>
        <w:pStyle w:val="TOC1"/>
        <w:tabs>
          <w:tab w:val="right" w:leader="dot" w:pos="9746"/>
        </w:tabs>
        <w:spacing w:after="12" w:line="240" w:lineRule="auto"/>
        <w:rPr>
          <w:noProof/>
        </w:rPr>
      </w:pPr>
      <w:hyperlink w:anchor="_RG0062" w:history="1">
        <w:r>
          <w:rPr>
            <w:noProof/>
            <w:sz w:val="17"/>
          </w:rPr>
          <w:t xml:space="preserve">Appendix E.  Recovery sequence worksheet</w:t>
        </w:r>
        <w:r>
          <w:rPr>
            <w:noProof/>
            <w:sz w:val="17"/>
          </w:rPr>
          <w:tab/>
        </w:r>
        <w:r>
          <w:rPr>
            <w:noProof/>
          </w:rPr>
          <w:fldChar w:fldCharType="begin"/>
        </w:r>
        <w:r>
          <w:rPr>
            <w:noProof/>
          </w:rPr>
          <w:instrText xml:space="preserve"> PAGEREF _RG0062 \h </w:instrText>
        </w:r>
        <w:r>
          <w:rPr>
            <w:noProof/>
          </w:rPr>
          <w:fldChar w:fldCharType="separate"/>
        </w:r>
        <w:r>
          <w:rPr>
            <w:noProof/>
            <w:sz w:val="17"/>
          </w:rPr>
          <w:t>27</w:t>
        </w:r>
        <w:r>
          <w:rPr>
            <w:noProof/>
          </w:rPr>
          <w:fldChar w:fldCharType="end"/>
        </w:r>
      </w:hyperlink>
    </w:p>
    <w:p>
      <w:pPr>
        <w:pStyle w:val="TOC1"/>
        <w:tabs>
          <w:tab w:val="right" w:leader="dot" w:pos="9746"/>
        </w:tabs>
        <w:spacing w:after="12" w:line="240" w:lineRule="auto"/>
        <w:rPr>
          <w:noProof/>
        </w:rPr>
      </w:pPr>
      <w:hyperlink w:anchor="_RG0063" w:history="1">
        <w:r>
          <w:rPr>
            <w:noProof/>
            <w:sz w:val="17"/>
          </w:rPr>
          <w:t xml:space="preserve">Appendix F.  Holding statement templates</w:t>
        </w:r>
        <w:r>
          <w:rPr>
            <w:noProof/>
            <w:sz w:val="17"/>
          </w:rPr>
          <w:tab/>
        </w:r>
        <w:r>
          <w:rPr>
            <w:noProof/>
          </w:rPr>
          <w:fldChar w:fldCharType="begin"/>
        </w:r>
        <w:r>
          <w:rPr>
            <w:noProof/>
          </w:rPr>
          <w:instrText xml:space="preserve"> PAGEREF _RG0063 \h </w:instrText>
        </w:r>
        <w:r>
          <w:rPr>
            <w:noProof/>
          </w:rPr>
          <w:fldChar w:fldCharType="separate"/>
        </w:r>
        <w:r>
          <w:rPr>
            <w:noProof/>
            <w:sz w:val="17"/>
          </w:rPr>
          <w:t>27</w:t>
        </w:r>
        <w:r>
          <w:rPr>
            <w:noProof/>
          </w:rPr>
          <w:fldChar w:fldCharType="end"/>
        </w:r>
      </w:hyperlink>
    </w:p>
    <w:p>
      <w:pPr>
        <w:pStyle w:val="TOC1"/>
        <w:tabs>
          <w:tab w:val="right" w:leader="dot" w:pos="9746"/>
        </w:tabs>
        <w:spacing w:after="12" w:line="240" w:lineRule="auto"/>
        <w:rPr>
          <w:noProof/>
        </w:rPr>
      </w:pPr>
      <w:hyperlink w:anchor="_RG0064" w:history="1">
        <w:r>
          <w:rPr>
            <w:noProof/>
            <w:sz w:val="17"/>
          </w:rPr>
          <w:t xml:space="preserve">Appendix G.  Decision log</w:t>
        </w:r>
        <w:r>
          <w:rPr>
            <w:noProof/>
            <w:sz w:val="17"/>
          </w:rPr>
          <w:tab/>
        </w:r>
        <w:r>
          <w:rPr>
            <w:noProof/>
          </w:rPr>
          <w:fldChar w:fldCharType="begin"/>
        </w:r>
        <w:r>
          <w:rPr>
            <w:noProof/>
          </w:rPr>
          <w:instrText xml:space="preserve"> PAGEREF _RG0064 \h </w:instrText>
        </w:r>
        <w:r>
          <w:rPr>
            <w:noProof/>
          </w:rPr>
          <w:fldChar w:fldCharType="separate"/>
        </w:r>
        <w:r>
          <w:rPr>
            <w:noProof/>
            <w:sz w:val="17"/>
          </w:rPr>
          <w:t>28</w:t>
        </w:r>
        <w:r>
          <w:rPr>
            <w:noProof/>
          </w:rPr>
          <w:fldChar w:fldCharType="end"/>
        </w:r>
      </w:hyperlink>
    </w:p>
    <w:p>
      <w:pPr>
        <w:pStyle w:val="TOC1"/>
        <w:tabs>
          <w:tab w:val="right" w:leader="dot" w:pos="9746"/>
        </w:tabs>
        <w:spacing w:after="12" w:line="240" w:lineRule="auto"/>
        <w:rPr>
          <w:noProof/>
        </w:rPr>
      </w:pPr>
      <w:hyperlink w:anchor="_RG0065" w:history="1">
        <w:r>
          <w:rPr>
            <w:noProof/>
            <w:sz w:val="17"/>
          </w:rPr>
          <w:t xml:space="preserve">Appendix H.  Guidance for adoption: preparing before an incident</w:t>
        </w:r>
        <w:r>
          <w:rPr>
            <w:noProof/>
            <w:sz w:val="17"/>
          </w:rPr>
          <w:tab/>
        </w:r>
        <w:r>
          <w:rPr>
            <w:noProof/>
          </w:rPr>
          <w:fldChar w:fldCharType="begin"/>
        </w:r>
        <w:r>
          <w:rPr>
            <w:noProof/>
          </w:rPr>
          <w:instrText xml:space="preserve"> PAGEREF _RG0065 \h </w:instrText>
        </w:r>
        <w:r>
          <w:rPr>
            <w:noProof/>
          </w:rPr>
          <w:fldChar w:fldCharType="separate"/>
        </w:r>
        <w:r>
          <w:rPr>
            <w:noProof/>
            <w:sz w:val="17"/>
          </w:rPr>
          <w:t>29</w:t>
        </w:r>
        <w:r>
          <w:rPr>
            <w:noProof/>
          </w:rPr>
          <w:fldChar w:fldCharType="end"/>
        </w:r>
      </w:hyperlink>
    </w:p>
    <w:p>
      <w:pPr>
        <w:pStyle w:val="TOC1"/>
        <w:tabs>
          <w:tab w:val="right" w:leader="dot" w:pos="9746"/>
        </w:tabs>
        <w:spacing w:after="12" w:line="240" w:lineRule="auto"/>
        <w:rPr>
          <w:noProof/>
        </w:rPr>
      </w:pPr>
      <w:hyperlink w:anchor="_RG0066" w:history="1">
        <w:r>
          <w:rPr>
            <w:noProof/>
            <w:sz w:val="17"/>
          </w:rPr>
          <w:t xml:space="preserve">Glossary</w:t>
        </w:r>
        <w:r>
          <w:rPr>
            <w:noProof/>
            <w:sz w:val="17"/>
          </w:rPr>
          <w:tab/>
        </w:r>
        <w:r>
          <w:rPr>
            <w:noProof/>
          </w:rPr>
          <w:fldChar w:fldCharType="begin"/>
        </w:r>
        <w:r>
          <w:rPr>
            <w:noProof/>
          </w:rPr>
          <w:instrText xml:space="preserve"> PAGEREF _RG0066 \h </w:instrText>
        </w:r>
        <w:r>
          <w:rPr>
            <w:noProof/>
          </w:rPr>
          <w:fldChar w:fldCharType="separate"/>
        </w:r>
        <w:r>
          <w:rPr>
            <w:noProof/>
            <w:sz w:val="17"/>
          </w:rPr>
          <w:t>31</w:t>
        </w:r>
        <w:r>
          <w:rPr>
            <w:noProof/>
          </w:rPr>
          <w:fldChar w:fldCharType="end"/>
        </w:r>
      </w:hyperlink>
    </w:p>
    <w:p>
      <w:pPr>
        <w:pStyle w:val="TOC1"/>
        <w:tabs>
          <w:tab w:val="right" w:leader="dot" w:pos="9746"/>
        </w:tabs>
        <w:spacing w:after="12" w:line="240" w:lineRule="auto"/>
        <w:rPr>
          <w:noProof/>
        </w:rPr>
      </w:pPr>
      <w:hyperlink w:anchor="_RG0069" w:history="1">
        <w:r>
          <w:rPr>
            <w:noProof/>
            <w:sz w:val="17"/>
          </w:rPr>
          <w:t xml:space="preserve">Record of changes</w:t>
        </w:r>
        <w:r>
          <w:rPr>
            <w:noProof/>
            <w:sz w:val="17"/>
          </w:rPr>
          <w:tab/>
        </w:r>
        <w:r>
          <w:rPr>
            <w:noProof/>
          </w:rPr>
          <w:fldChar w:fldCharType="begin"/>
        </w:r>
        <w:r>
          <w:rPr>
            <w:noProof/>
          </w:rPr>
          <w:instrText xml:space="preserve"> PAGEREF _RG0069 \h </w:instrText>
        </w:r>
        <w:r>
          <w:rPr>
            <w:noProof/>
          </w:rPr>
          <w:fldChar w:fldCharType="separate"/>
        </w:r>
        <w:r>
          <w:rPr>
            <w:noProof/>
            <w:sz w:val="17"/>
          </w:rPr>
          <w:t>32</w:t>
        </w:r>
        <w:r>
          <w:rPr>
            <w:noProof/>
          </w:rPr>
          <w:fldChar w:fldCharType="end"/>
        </w:r>
      </w:hyperlink>
      <w:r>
        <w:rPr>
          <w:noProof/>
        </w:rPr>
        <w:fldChar w:fldCharType="end"/>
      </w:r>
    </w:p>
    <w:p>
      <w:pPr>
        <w:pStyle w:val="Heading1"/>
        <w:keepNext/>
        <w:keepLines/>
        <w:pageBreakBefore/>
        <w:pBdr>
          <w:bottom w:val="single" w:color="D4DAE0" w:sz="4" w:space="4"/>
        </w:pBdr>
        <w:spacing w:after="140" w:before="300"/>
      </w:pPr>
      <w:bookmarkStart w:name="_RG0001" w:id="1"/>
      <w:r>
        <w:t xml:space="preserve">Executive summary</w:t>
      </w:r>
      <w:bookmarkEnd w:id="1"/>
    </w:p>
    <w:p>
      <w:pPr>
        <w:keepNext/>
        <w:spacing w:after="70" w:before="200"/>
      </w:pPr>
      <w:r>
        <w:rPr>
          <w:b/>
          <w:bCs/>
          <w:color w:val="2E5C7A"/>
          <w:sz w:val="17"/>
          <w:szCs w:val="17"/>
        </w:rPr>
        <w:t xml:space="preserve">WHY THIS IS WORTH A DOCUMENT OF ITS OWN</w:t>
      </w:r>
    </w:p>
    <w:p>
      <w:pPr>
        <w:spacing w:after="130" w:line="262"/>
      </w:pPr>
      <w:r>
        <w:t xml:space="preserve">A general incident response plan tells an organization how to run an incident. Ransomware is the incident type where the generic plan is most likely to fail, because the decisions that matter are made in the first hour, under pressure, by people who have never made them before. Power a server off and the memory evidence is gone. Reconnect a backup server to check it and the backups are encrypted too. Call the attacker to ask the price and the insurer may decline the claim. Each of those mistakes is made in good faith, and each is close to irreversible.</w:t>
      </w:r>
    </w:p>
    <w:p>
      <w:pPr>
        <w:spacing w:after="130" w:line="262"/>
      </w:pPr>
      <w:r>
        <w:t xml:space="preserve">Modern ransomware is also two incidents at once. Most operators copy data out before they encrypt it, so restoring from backup ends the outage but not the extortion. A playbook that treats ransomware as a recovery problem alone leaves the data exposure, the notification obligations and the second demand unmanaged.</w:t>
      </w:r>
    </w:p>
    <w:p>
      <w:pPr>
        <w:keepNext/>
        <w:spacing w:after="70" w:before="200"/>
      </w:pPr>
      <w:r>
        <w:rPr>
          <w:b/>
          <w:bCs/>
          <w:color w:val="2E5C7A"/>
          <w:sz w:val="17"/>
          <w:szCs w:val="17"/>
        </w:rPr>
        <w:t xml:space="preserve">WHAT THIS DOCUMENT CONTAINS</w:t>
      </w:r>
    </w:p>
    <w:p>
      <w:pPr>
        <w:spacing w:after="130" w:line="262"/>
      </w:pPr>
      <w:r>
        <w:t xml:space="preserve">A procedure that operates under the organization's Incident Response Plan, PLN-IR-001, and adds only what ransomware needs: the signals that should trigger it, a first-hour checklist with what not to do, decision rights that are granted before the incident so nobody waits for permission to isolate a network, containment in priority order starting with identity, backup protection, scoping for exfiltration, a notification sequence that starts with the insurer and counsel, a ransom decision framework that accounts for sanctions risk, and a recovery order driven by dependencies.</w:t>
      </w:r>
    </w:p>
    <w:p>
      <w:pPr>
        <w:spacing w:after="130" w:line="262"/>
      </w:pPr>
      <w:r>
        <w:t xml:space="preserve">The appendices are the working records: the first-hour checklist, the containment checklist, a notification tracker with a deadlines column, the decision log, the ransom decision record, the recovery sequence worksheet, holding statement templates, and guidance on what to put in place before an incident occurs.</w:t>
      </w:r>
    </w:p>
    <w:p>
      <w:pPr>
        <w:keepNext/>
        <w:spacing w:after="70" w:before="200"/>
      </w:pPr>
      <w:r>
        <w:rPr>
          <w:b/>
          <w:bCs/>
          <w:color w:val="2E5C7A"/>
          <w:sz w:val="17"/>
          <w:szCs w:val="17"/>
        </w:rPr>
        <w:t xml:space="preserve">WHO THIS DOCUMENT IS FOR</w:t>
      </w:r>
    </w:p>
    <w:p>
      <w:pPr>
        <w:spacing w:after="130" w:line="262"/>
      </w:pPr>
      <w:r>
        <w:t xml:space="preserve">The person who will be called first when files stop opening: an IT manager, an operations lead, or the owner of the incident response plan in an organization of roughly 20 to 2,000 staff. It assumes a small or part-time security function and an external incident response firm engaged when needed, usually through the cyber insurer.</w:t>
      </w:r>
    </w:p>
    <w:p>
      <w:pPr>
        <w:keepNext/>
        <w:spacing w:after="70" w:before="200"/>
      </w:pPr>
      <w:r>
        <w:rPr>
          <w:b/>
          <w:bCs/>
          <w:color w:val="2E5C7A"/>
          <w:sz w:val="17"/>
          <w:szCs w:val="17"/>
        </w:rPr>
        <w:t xml:space="preserve">WHAT IT IS NOT</w:t>
      </w:r>
    </w:p>
    <w:p>
      <w:pPr>
        <w:spacing w:after="130" w:line="262"/>
      </w:pPr>
      <w:r>
        <w:t xml:space="preserve">It is not a technical forensics manual and it is not legal advice. It does not replace PLN-IR-001; severity definitions, the core response roles, the contact list, the incident log and the after-action record all live there and are referenced here rather than repeated. The playbook is only as good as the preparation behind it. An organization that adopts it without signing the pre-authorizations, testing backup isolation and confirming its insurer's requirements has a document, not a capability. Appendix H says what to do first.</w:t>
      </w:r>
    </w:p>
    <w:p>
      <w:pPr>
        <w:pStyle w:val="Heading1"/>
        <w:keepNext/>
        <w:keepLines/>
        <w:pageBreakBefore/>
        <w:pBdr>
          <w:bottom w:val="single" w:color="D4DAE0" w:sz="4" w:space="4"/>
        </w:pBdr>
        <w:spacing w:after="140" w:before="300"/>
      </w:pPr>
      <w:bookmarkStart w:name="_RG0002" w:id="1"/>
      <w:r>
        <w:t xml:space="preserve">1.  Purpose, scope and relationship to PLN-IR-001</w:t>
      </w:r>
      <w:bookmarkEnd w:id="1"/>
    </w:p>
    <w:p>
      <w:pPr>
        <w:spacing w:after="130" w:line="262"/>
      </w:pPr>
      <w:r>
        <w:t xml:space="preserve">This playbook defines how the organization responds to a ransomware or data extortion incident. </w:t>
      </w:r>
      <w:r>
        <w:rPr>
          <w:b/>
          <w:bCs/>
        </w:rPr>
        <w:t xml:space="preserve">This playbook operates under PLN-IR-001</w:t>
      </w:r>
      <w:r>
        <w:t xml:space="preserve">, the Incident Response Plan. Where PLN-IR-001 defines a term, role, severity level, communication channel or record, this playbook uses it unchanged and does not restate it. Where this playbook adds a requirement specific to ransomware, the requirement here applies in addition to PLN-IR-001. Where the two conflict, the incident lead resolves the conflict, records the decision in the decision log (Appendix G), and the conflict is corrected at the next review.</w:t>
      </w:r>
    </w:p>
    <w:p>
      <w:pPr>
        <w:spacing w:after="60" w:line="120"/>
      </w:pPr>
      <w:r>
        <w:rPr>
          <w:sz w:val="4"/>
          <w:szCs w:val="4"/>
        </w:rPr>
        <w:t xml:space="preserve"/>
      </w:r>
    </w:p>
    <w:p>
      <w:pPr>
        <w:pStyle w:val="Heading2"/>
        <w:keepNext/>
        <w:keepLines/>
        <w:spacing w:after="90" w:before="220"/>
      </w:pPr>
      <w:bookmarkStart w:name="_RG0003" w:id="1"/>
      <w:r>
        <w:t xml:space="preserve">1.1  Scope</w:t>
      </w:r>
      <w:bookmarkEnd w:id="1"/>
    </w:p>
    <w:p>
      <w:pPr>
        <w:spacing w:after="130" w:line="262"/>
      </w:pPr>
      <w:r>
        <w:t xml:space="preserve">The playbook applies to any of the following, whether confirmed or suspected:</w:t>
      </w:r>
    </w:p>
    <w:p>
      <w:pPr>
        <w:pStyle w:val="ListParagraph"/>
        <w:numPr>
          <w:ilvl w:val="0"/>
          <w:numId w:val="2"/>
        </w:numPr>
        <w:spacing w:after="60" w:line="262"/>
      </w:pPr>
      <w:r>
        <w:t xml:space="preserve">Encryption or destruction of files, virtual machines, databases or backups by malicious software.</w:t>
      </w:r>
    </w:p>
    <w:p>
      <w:pPr>
        <w:pStyle w:val="ListParagraph"/>
        <w:numPr>
          <w:ilvl w:val="0"/>
          <w:numId w:val="2"/>
        </w:numPr>
        <w:spacing w:after="60" w:line="262"/>
      </w:pPr>
      <w:r>
        <w:t xml:space="preserve">A ransom note, extortion message or contact from a party claiming to hold the organization's data.</w:t>
      </w:r>
    </w:p>
    <w:p>
      <w:pPr>
        <w:pStyle w:val="ListParagraph"/>
        <w:numPr>
          <w:ilvl w:val="0"/>
          <w:numId w:val="2"/>
        </w:numPr>
        <w:spacing w:after="60" w:line="262"/>
      </w:pPr>
      <w:r>
        <w:t xml:space="preserve">Discovery of the organization's data on a leak site or in a criminal marketplace.</w:t>
      </w:r>
    </w:p>
    <w:p>
      <w:pPr>
        <w:pStyle w:val="ListParagraph"/>
        <w:numPr>
          <w:ilvl w:val="0"/>
          <w:numId w:val="2"/>
        </w:numPr>
        <w:spacing w:after="60" w:line="262"/>
      </w:pPr>
      <w:r>
        <w:t xml:space="preserve">Detection of tooling or behavior that commonly precedes ransomware deployment, where the incident lead judges that deployment is likely (Section 4).</w:t>
      </w:r>
    </w:p>
    <w:p>
      <w:pPr>
        <w:spacing w:after="130" w:line="262"/>
      </w:pPr>
      <w:r>
        <w:t xml:space="preserve">It covers systems the organization owns or operates, cloud tenancies and services administered by the organization, and systems operated on the organization's behalf by managed service providers. Where a supplier hosting organization data is the victim, the playbook applies to the organization's own exposure and notifications; the supplier's systems are the supplier's incident.</w:t>
      </w:r>
    </w:p>
    <w:p>
      <w:pPr>
        <w:spacing w:after="60" w:line="120"/>
      </w:pPr>
      <w:r>
        <w:rPr>
          <w:sz w:val="4"/>
          <w:szCs w:val="4"/>
        </w:rPr>
        <w:t xml:space="preserve"/>
      </w:r>
    </w:p>
    <w:p>
      <w:pPr>
        <w:pStyle w:val="Heading2"/>
        <w:keepNext/>
        <w:keepLines/>
        <w:spacing w:after="90" w:before="220"/>
      </w:pPr>
      <w:bookmarkStart w:name="_RG0004" w:id="1"/>
      <w:r>
        <w:t xml:space="preserve">1.2  What PLN-IR-001 provides</w:t>
      </w:r>
      <w:bookmarkEnd w:id="1"/>
    </w:p>
    <w:p>
      <w:pPr>
        <w:spacing w:after="130" w:line="262"/>
      </w:pPr>
      <w:r>
        <w:t xml:space="preserve">The following are taken from PLN-IR-001 and are not repeated here: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949"/>
        <w:gridCol w:w="2923"/>
        <w:gridCol w:w="4874"/>
      </w:tblGrid>
      <w:tr>
        <w:trPr>
          <w:cantSplit/>
          <w:tblHeader/>
        </w:trPr>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Element</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Held in PLN-IR-001</w:t>
            </w:r>
          </w:p>
        </w:tc>
        <w:tc>
          <w:tcPr>
            <w:tcW w:type="dxa" w:w="48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this playbook uses it</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Severity definitions</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Severity levels and criteria</w:t>
            </w:r>
          </w:p>
        </w:tc>
        <w:tc>
          <w:tcPr>
            <w:tcW w:type="dxa" w:w="4874"/>
            <w:shd w:fill="FFFFFF" w:color="auto" w:val="clear"/>
            <w:tcMar>
              <w:top w:type="dxa" w:w="70"/>
              <w:left w:type="dxa" w:w="100"/>
              <w:bottom w:type="dxa" w:w="70"/>
              <w:right w:type="dxa" w:w="100"/>
            </w:tcMar>
            <w:vAlign w:val="top"/>
          </w:tcPr>
          <w:p>
            <w:pPr>
              <w:spacing w:after="0" w:before="0" w:line="252"/>
            </w:pPr>
            <w:r>
              <w:rPr>
                <w:sz w:val="17"/>
                <w:szCs w:val="17"/>
              </w:rPr>
              <w:t xml:space="preserve">Any confirmed ransomware encryption on more than one system is treated at the highest severity level defined in PLN-IR-001 unless the incident lead records a reason otherwise.</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Core roles</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Incident lead, deputy, scribe and executive sponsor</w:t>
            </w:r>
          </w:p>
        </w:tc>
        <w:tc>
          <w:tcPr>
            <w:tcW w:type="dxa" w:w="4874"/>
            <w:shd w:fill="F2F4F6" w:color="auto" w:val="clear"/>
            <w:tcMar>
              <w:top w:type="dxa" w:w="70"/>
              <w:left w:type="dxa" w:w="100"/>
              <w:bottom w:type="dxa" w:w="70"/>
              <w:right w:type="dxa" w:w="100"/>
            </w:tcMar>
            <w:vAlign w:val="top"/>
          </w:tcPr>
          <w:p>
            <w:pPr>
              <w:spacing w:after="0" w:before="0" w:line="252"/>
            </w:pPr>
            <w:r>
              <w:rPr>
                <w:sz w:val="17"/>
                <w:szCs w:val="17"/>
              </w:rPr>
              <w:t xml:space="preserve">Section 16 adds ransomware-specific roles and decision rights to these.</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Contact list</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Internal and external contacts, including out-of-band numbers</w:t>
            </w:r>
          </w:p>
        </w:tc>
        <w:tc>
          <w:tcPr>
            <w:tcW w:type="dxa" w:w="4874"/>
            <w:shd w:fill="FFFFFF" w:color="auto" w:val="clear"/>
            <w:tcMar>
              <w:top w:type="dxa" w:w="70"/>
              <w:left w:type="dxa" w:w="100"/>
              <w:bottom w:type="dxa" w:w="70"/>
              <w:right w:type="dxa" w:w="100"/>
            </w:tcMar>
            <w:vAlign w:val="top"/>
          </w:tcPr>
          <w:p>
            <w:pPr>
              <w:spacing w:after="0" w:before="0" w:line="252"/>
            </w:pPr>
            <w:r>
              <w:rPr>
                <w:sz w:val="17"/>
                <w:szCs w:val="17"/>
              </w:rPr>
              <w:t xml:space="preserve">Section 10 and Appendix C name which contacts are called and in what order.</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Response phases</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The organization's response model</w:t>
            </w:r>
          </w:p>
        </w:tc>
        <w:tc>
          <w:tcPr>
            <w:tcW w:type="dxa" w:w="4874"/>
            <w:shd w:fill="F2F4F6" w:color="auto" w:val="clear"/>
            <w:tcMar>
              <w:top w:type="dxa" w:w="70"/>
              <w:left w:type="dxa" w:w="100"/>
              <w:bottom w:type="dxa" w:w="70"/>
              <w:right w:type="dxa" w:w="100"/>
            </w:tcMar>
            <w:vAlign w:val="top"/>
          </w:tcPr>
          <w:p>
            <w:pPr>
              <w:spacing w:after="0" w:before="0" w:line="252"/>
            </w:pPr>
            <w:r>
              <w:rPr>
                <w:sz w:val="17"/>
                <w:szCs w:val="17"/>
              </w:rPr>
              <w:t xml:space="preserve">This playbook supplies the ransomware-specific actions within each phase.</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Incident log</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The chronological record of the incident</w:t>
            </w:r>
          </w:p>
        </w:tc>
        <w:tc>
          <w:tcPr>
            <w:tcW w:type="dxa" w:w="4874"/>
            <w:shd w:fill="FFFFFF" w:color="auto" w:val="clear"/>
            <w:tcMar>
              <w:top w:type="dxa" w:w="70"/>
              <w:left w:type="dxa" w:w="100"/>
              <w:bottom w:type="dxa" w:w="70"/>
              <w:right w:type="dxa" w:w="100"/>
            </w:tcMar>
            <w:vAlign w:val="top"/>
          </w:tcPr>
          <w:p>
            <w:pPr>
              <w:spacing w:after="0" w:before="0" w:line="252"/>
            </w:pPr>
            <w:r>
              <w:rPr>
                <w:sz w:val="17"/>
                <w:szCs w:val="17"/>
              </w:rPr>
              <w:t xml:space="preserve">All actions under this playbook are recorded there. Decisions are recorded in the decision log in Appendix G and cross-referenced in the incident log.</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After-action record</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Post-incident review template</w:t>
            </w:r>
          </w:p>
        </w:tc>
        <w:tc>
          <w:tcPr>
            <w:tcW w:type="dxa" w:w="4874"/>
            <w:shd w:fill="F2F4F6" w:color="auto" w:val="clear"/>
            <w:tcMar>
              <w:top w:type="dxa" w:w="70"/>
              <w:left w:type="dxa" w:w="100"/>
              <w:bottom w:type="dxa" w:w="70"/>
              <w:right w:type="dxa" w:w="100"/>
            </w:tcMar>
            <w:vAlign w:val="top"/>
          </w:tcPr>
          <w:p>
            <w:pPr>
              <w:spacing w:after="0" w:before="0" w:line="252"/>
            </w:pPr>
            <w:r>
              <w:rPr>
                <w:sz w:val="17"/>
                <w:szCs w:val="17"/>
              </w:rPr>
              <w:t xml:space="preserve">Section 15 sets the ransomware-specific questions the review must answer.</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05" w:id="1"/>
      <w:r>
        <w:t xml:space="preserve">1.3  Alignment with NIST SP 800-61 Revision 3</w:t>
      </w:r>
      <w:bookmarkEnd w:id="1"/>
    </w:p>
    <w:p>
      <w:pPr>
        <w:spacing w:after="130" w:line="262"/>
      </w:pPr>
      <w:r>
        <w:t xml:space="preserve">NIST SP 800-61 Revision 3, published in April 2025, superseded Revision 2 and repositioned incident response as part of cybersecurity risk management under the six functions of the NIST Cybersecurity Framework 2.0: Govern, Identify, Protect, Detect, Respond and Recover. The earlier four-phase lifecycle from Revision 2 is no longer the reference model and this playbook is not structured around it.</w:t>
      </w:r>
    </w:p>
    <w:p>
      <w:pPr>
        <w:spacing w:after="130" w:line="262"/>
      </w:pPr>
      <w:r>
        <w:t xml:space="preserve">The playbook maps to the CSF 2.0 functions as follows. Govern: decision rights, the ransom decision framework and the notification obligations (Sections 3, 10 and 11). Identify and Protect: the preparation in Appendix H and the backup protection in Section 8. Detect: the signals and declaration in Section 4. Respond: the first hour, containment, scoping, notification and communications (Sections 5, 7, 9, 10 and 14). Recover: eradication, recovery order and validation (Sections 12 and 13). Post-incident improvement in Section 15 feeds back into Govern, Identify and Protect.</w:t>
      </w:r>
    </w:p>
    <w:p>
      <w:pPr>
        <w:spacing w:after="60" w:line="120"/>
      </w:pPr>
      <w:r>
        <w:rPr>
          <w:sz w:val="4"/>
          <w:szCs w:val="4"/>
        </w:rPr>
        <w:t xml:space="preserve"/>
      </w:r>
    </w:p>
    <w:p>
      <w:pPr>
        <w:pStyle w:val="Heading2"/>
        <w:keepNext/>
        <w:keepLines/>
        <w:spacing w:after="90" w:before="220"/>
      </w:pPr>
      <w:bookmarkStart w:name="_RG0006" w:id="1"/>
      <w:r>
        <w:t xml:space="preserve">1.4  Source of the response actions</w:t>
      </w:r>
      <w:bookmarkEnd w:id="1"/>
    </w:p>
    <w:p>
      <w:pPr>
        <w:spacing w:after="130" w:line="262"/>
      </w:pPr>
      <w:r>
        <w:t xml:space="preserve">The response actions in this playbook are based on the ransomware and data extortion response checklist in the #StopRansomware Guide published by CISA, the FBI, the NSA and the MS-ISAC, in its September 2023 edition, restated here as operating requirements for the organization. Where the organization's environment differs from the assumptions in that guide, the difference is recorded in the review record at the next review of this playbook.</w:t>
      </w:r>
    </w:p>
    <w:p>
      <w:pPr>
        <w:spacing w:after="60" w:line="120"/>
      </w:pPr>
      <w:r>
        <w:rPr>
          <w:sz w:val="4"/>
          <w:szCs w:val="4"/>
        </w:rPr>
        <w:t xml:space="preserve"/>
      </w:r>
    </w:p>
    <w:p>
      <w:pPr>
        <w:pStyle w:val="Heading1"/>
        <w:keepNext/>
        <w:keepLines/>
        <w:pBdr>
          <w:bottom w:val="single" w:color="D4DAE0" w:sz="4" w:space="4"/>
        </w:pBdr>
        <w:spacing w:after="140" w:before="300"/>
      </w:pPr>
      <w:bookmarkStart w:name="_RG0007" w:id="1"/>
      <w:r>
        <w:t xml:space="preserve">2.  Principles</w:t>
      </w:r>
      <w:bookmarkEnd w:id="1"/>
    </w:p>
    <w:p>
      <w:pPr>
        <w:keepNext/>
        <w:keepLines/>
        <w:pBdr>
          <w:top w:val="single" w:color="D4DAE0" w:sz="4" w:space="9"/>
        </w:pBdr>
        <w:spacing w:after="46" w:before="110"/>
      </w:pPr>
      <w:r>
        <w:rPr>
          <w:b/>
          <w:bCs/>
          <w:color w:val="2E5C7A"/>
          <w:sz w:val="21"/>
          <w:szCs w:val="21"/>
        </w:rPr>
        <w:t xml:space="preserve">Isolate, do not destroy</w:t>
      </w:r>
    </w:p>
    <w:p>
      <w:pPr>
        <w:spacing w:after="62" w:line="262"/>
        <w:ind w:left="172"/>
      </w:pPr>
      <w:r>
        <w:t xml:space="preserve">Systems are disconnected from the network, not powered off or wiped. Memory, running processes and logs are evidence that answers the questions the insurer, counsel, law enforcement and regulators will ask. Powering a system down is a last resort, used only when it cannot be isolated any other way.</w:t>
      </w:r>
    </w:p>
    <w:p>
      <w:pPr>
        <w:keepNext/>
        <w:keepLines/>
        <w:pBdr>
          <w:top w:val="single" w:color="D4DAE0" w:sz="4" w:space="9"/>
        </w:pBdr>
        <w:spacing w:after="46" w:before="170"/>
      </w:pPr>
      <w:r>
        <w:rPr>
          <w:b/>
          <w:bCs/>
          <w:color w:val="2E5C7A"/>
          <w:sz w:val="21"/>
          <w:szCs w:val="21"/>
        </w:rPr>
        <w:t xml:space="preserve">Decide in advance</w:t>
      </w:r>
    </w:p>
    <w:p>
      <w:pPr>
        <w:spacing w:after="62" w:line="262"/>
        <w:ind w:left="172"/>
      </w:pPr>
      <w:r>
        <w:t xml:space="preserve">The authority to disconnect a system, a site or the internet connection is granted before an incident, in writing, to named roles. Waiting to reach an executive while encryption spreads is a decision to let it spread.</w:t>
      </w:r>
    </w:p>
    <w:p>
      <w:pPr>
        <w:keepNext/>
        <w:keepLines/>
        <w:pBdr>
          <w:top w:val="single" w:color="D4DAE0" w:sz="4" w:space="9"/>
        </w:pBdr>
        <w:spacing w:after="46" w:before="170"/>
      </w:pPr>
      <w:r>
        <w:rPr>
          <w:b/>
          <w:bCs/>
          <w:color w:val="2E5C7A"/>
          <w:sz w:val="21"/>
          <w:szCs w:val="21"/>
        </w:rPr>
        <w:t xml:space="preserve">Identity before infrastructure</w:t>
      </w:r>
    </w:p>
    <w:p>
      <w:pPr>
        <w:spacing w:after="62" w:line="262"/>
        <w:ind w:left="172"/>
      </w:pPr>
      <w:r>
        <w:t xml:space="preserve">Ransomware operators work through stolen and created accounts. Rebuilding servers while the attacker still holds a domain administrator credential restores the attacker's access along with the service.</w:t>
      </w:r>
    </w:p>
    <w:p>
      <w:pPr>
        <w:keepNext/>
        <w:keepLines/>
        <w:pBdr>
          <w:top w:val="single" w:color="D4DAE0" w:sz="4" w:space="9"/>
        </w:pBdr>
        <w:spacing w:after="46" w:before="170"/>
      </w:pPr>
      <w:r>
        <w:rPr>
          <w:b/>
          <w:bCs/>
          <w:color w:val="2E5C7A"/>
          <w:sz w:val="21"/>
          <w:szCs w:val="21"/>
        </w:rPr>
        <w:t xml:space="preserve">Assume the data has left</w:t>
      </w:r>
    </w:p>
    <w:p>
      <w:pPr>
        <w:spacing w:after="62" w:line="262"/>
        <w:ind w:left="172"/>
      </w:pPr>
      <w:r>
        <w:t xml:space="preserve">Until scoping shows otherwise, the incident is treated as both an encryption event and a data theft event. Notification and legal analysis begin on that assumption.</w:t>
      </w:r>
    </w:p>
    <w:p>
      <w:pPr>
        <w:keepNext/>
        <w:keepLines/>
        <w:pBdr>
          <w:top w:val="single" w:color="D4DAE0" w:sz="4" w:space="9"/>
        </w:pBdr>
        <w:spacing w:after="46" w:before="170"/>
      </w:pPr>
      <w:r>
        <w:rPr>
          <w:b/>
          <w:bCs/>
          <w:color w:val="2E5C7A"/>
          <w:sz w:val="21"/>
          <w:szCs w:val="21"/>
        </w:rPr>
        <w:t xml:space="preserve">Protect the way back</w:t>
      </w:r>
    </w:p>
    <w:p>
      <w:pPr>
        <w:spacing w:after="62" w:line="262"/>
        <w:ind w:left="172"/>
      </w:pPr>
      <w:r>
        <w:t xml:space="preserve">Backups are the recovery path and the attacker's priority target. Nothing is reconnected to a backup system until its isolation and integrity are confirmed.</w:t>
      </w:r>
    </w:p>
    <w:p>
      <w:pPr>
        <w:keepNext/>
        <w:keepLines/>
        <w:pBdr>
          <w:top w:val="single" w:color="D4DAE0" w:sz="4" w:space="9"/>
        </w:pBdr>
        <w:spacing w:after="46" w:before="170"/>
      </w:pPr>
      <w:r>
        <w:rPr>
          <w:b/>
          <w:bCs/>
          <w:color w:val="2E5C7A"/>
          <w:sz w:val="21"/>
          <w:szCs w:val="21"/>
        </w:rPr>
        <w:t xml:space="preserve">Speak through counsel and the insurer first</w:t>
      </w:r>
    </w:p>
    <w:p>
      <w:pPr>
        <w:spacing w:after="62" w:line="262"/>
        <w:ind w:left="172"/>
      </w:pPr>
      <w:r>
        <w:t xml:space="preserve">External engagement, including with responders, regulators, the media and the attacker, follows the sequence in Section 10. Commitments made in the first hours can void cover or waive privilege.</w:t>
      </w:r>
    </w:p>
    <w:p>
      <w:pPr>
        <w:keepNext/>
        <w:keepLines/>
        <w:pBdr>
          <w:top w:val="single" w:color="D4DAE0" w:sz="4" w:space="9"/>
        </w:pBdr>
        <w:spacing w:after="46" w:before="170"/>
      </w:pPr>
      <w:r>
        <w:rPr>
          <w:b/>
          <w:bCs/>
          <w:color w:val="2E5C7A"/>
          <w:sz w:val="21"/>
          <w:szCs w:val="21"/>
        </w:rPr>
        <w:t xml:space="preserve">Every decision is written down</w:t>
      </w:r>
    </w:p>
    <w:p>
      <w:pPr>
        <w:spacing w:after="62" w:line="262"/>
        <w:ind w:left="172"/>
      </w:pPr>
      <w:r>
        <w:t xml:space="preserve">Each decision is recorded with the time, the decision maker, the information available and the alternatives considered. The record protects the people making hard calls with incomplete information.</w:t>
      </w:r>
    </w:p>
    <w:p>
      <w:pPr>
        <w:spacing w:after="60" w:line="120"/>
      </w:pPr>
      <w:r>
        <w:rPr>
          <w:sz w:val="4"/>
          <w:szCs w:val="4"/>
        </w:rPr>
        <w:t xml:space="preserve"/>
      </w:r>
    </w:p>
    <w:p>
      <w:pPr>
        <w:pStyle w:val="Heading1"/>
        <w:keepNext/>
        <w:keepLines/>
        <w:pBdr>
          <w:bottom w:val="single" w:color="D4DAE0" w:sz="4" w:space="4"/>
        </w:pBdr>
        <w:spacing w:after="140" w:before="300"/>
      </w:pPr>
      <w:bookmarkStart w:name="_RG0008" w:id="1"/>
      <w:r>
        <w:t xml:space="preserve">3.  Decision rights and pre-authorization</w:t>
      </w:r>
      <w:bookmarkEnd w:id="1"/>
    </w:p>
    <w:p>
      <w:pPr>
        <w:spacing w:after="130" w:line="262"/>
      </w:pPr>
      <w:r>
        <w:t xml:space="preserve">The decisions below are pre-authorized. A role holder listed in the Authorized column may take the action without seeking further approval when the stated trigger is met. The action and its reason are recorded in the decision log within 30 minutes of the action. Pre-authorization is signed by the executive sponsor named in PLN-IR-001, renewed at least annually, and renewed whenever a named role holder changes.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2728"/>
        <w:gridCol w:w="2728"/>
        <w:gridCol w:w="1757"/>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Decision</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Trigger</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Authorized</w:t>
            </w:r>
          </w:p>
        </w:tc>
        <w:tc>
          <w:tcPr>
            <w:tcW w:type="dxa" w:w="175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Notify within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Isolate an individual endpoint or server from the network</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Any indicator in Section 4.1 on that system</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 any on-call administrator, the managed security provider</w:t>
            </w:r>
          </w:p>
        </w:tc>
        <w:tc>
          <w:tcPr>
            <w:tcW w:type="dxa" w:w="1757"/>
            <w:shd w:fill="FFFFFF" w:color="auto" w:val="clear"/>
            <w:tcMar>
              <w:top w:type="dxa" w:w="70"/>
              <w:left w:type="dxa" w:w="100"/>
              <w:bottom w:type="dxa" w:w="70"/>
              <w:right w:type="dxa" w:w="100"/>
            </w:tcMar>
            <w:vAlign w:val="top"/>
          </w:tcPr>
          <w:p>
            <w:pPr>
              <w:spacing w:after="0" w:before="0" w:line="252"/>
            </w:pPr>
            <w:r>
              <w:rPr>
                <w:sz w:val="17"/>
                <w:szCs w:val="17"/>
              </w:rPr>
              <w:t xml:space="preserve">30 minutes, incident lead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Isolate a network segment, VLAN or site</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Indicators on two or more systems in the segment, or one confirmed encryption</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Incident lead or IT operations lead</w:t>
            </w:r>
          </w:p>
        </w:tc>
        <w:tc>
          <w:tcPr>
            <w:tcW w:type="dxa" w:w="1757"/>
            <w:shd w:fill="F2F4F6" w:color="auto" w:val="clear"/>
            <w:tcMar>
              <w:top w:type="dxa" w:w="70"/>
              <w:left w:type="dxa" w:w="100"/>
              <w:bottom w:type="dxa" w:w="70"/>
              <w:right w:type="dxa" w:w="100"/>
            </w:tcMar>
            <w:vAlign w:val="top"/>
          </w:tcPr>
          <w:p>
            <w:pPr>
              <w:spacing w:after="0" w:before="0" w:line="252"/>
            </w:pPr>
            <w:r>
              <w:rPr>
                <w:sz w:val="17"/>
                <w:szCs w:val="17"/>
              </w:rPr>
              <w:t xml:space="preserve">30 minutes, executive sponsor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Disconnect the organization from the internet, including VPN and remote access</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Confirmed encryption spreading across segments, or confirmed active attacker interaction</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Incident lead; if unreachable within 15 minutes, IT operations lead</w:t>
            </w:r>
          </w:p>
        </w:tc>
        <w:tc>
          <w:tcPr>
            <w:tcW w:type="dxa" w:w="1757"/>
            <w:shd w:fill="FFFFFF" w:color="auto" w:val="clear"/>
            <w:tcMar>
              <w:top w:type="dxa" w:w="70"/>
              <w:left w:type="dxa" w:w="100"/>
              <w:bottom w:type="dxa" w:w="70"/>
              <w:right w:type="dxa" w:w="100"/>
            </w:tcMar>
            <w:vAlign w:val="top"/>
          </w:tcPr>
          <w:p>
            <w:pPr>
              <w:spacing w:after="0" w:before="0" w:line="252"/>
            </w:pPr>
            <w:r>
              <w:rPr>
                <w:sz w:val="17"/>
                <w:szCs w:val="17"/>
              </w:rPr>
              <w:t xml:space="preserve">15 minutes, executive sponsor</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Disable remote access, VPN, single sign-on federation or public-facing services</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Any indicator that one of these was the entry point or is in use by the attacker</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Incident lead or identity administrator</w:t>
            </w:r>
          </w:p>
        </w:tc>
        <w:tc>
          <w:tcPr>
            <w:tcW w:type="dxa" w:w="1757"/>
            <w:shd w:fill="F2F4F6" w:color="auto" w:val="clear"/>
            <w:tcMar>
              <w:top w:type="dxa" w:w="70"/>
              <w:left w:type="dxa" w:w="100"/>
              <w:bottom w:type="dxa" w:w="70"/>
              <w:right w:type="dxa" w:w="100"/>
            </w:tcMar>
            <w:vAlign w:val="top"/>
          </w:tcPr>
          <w:p>
            <w:pPr>
              <w:spacing w:after="0" w:before="0" w:line="252"/>
            </w:pPr>
            <w:r>
              <w:rPr>
                <w:sz w:val="17"/>
                <w:szCs w:val="17"/>
              </w:rPr>
              <w:t xml:space="preserve">30 minutes, executive sponsor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Disable any user, service or administrator account</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Account shows anomalous use or was created without a change record</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 or incident lead</w:t>
            </w:r>
          </w:p>
        </w:tc>
        <w:tc>
          <w:tcPr>
            <w:tcW w:type="dxa" w:w="1757"/>
            <w:shd w:fill="FFFFFF" w:color="auto" w:val="clear"/>
            <w:tcMar>
              <w:top w:type="dxa" w:w="70"/>
              <w:left w:type="dxa" w:w="100"/>
              <w:bottom w:type="dxa" w:w="70"/>
              <w:right w:type="dxa" w:w="100"/>
            </w:tcMar>
            <w:vAlign w:val="top"/>
          </w:tcPr>
          <w:p>
            <w:pPr>
              <w:spacing w:after="0" w:before="0" w:line="252"/>
            </w:pPr>
            <w:r>
              <w:rPr>
                <w:sz w:val="17"/>
                <w:szCs w:val="17"/>
              </w:rPr>
              <w:t xml:space="preserve">30 minutes, incident lead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Suspend backup jobs and lock backup administration</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Any declaration under Section 4.2</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Backup owner or incident lead</w:t>
            </w:r>
          </w:p>
        </w:tc>
        <w:tc>
          <w:tcPr>
            <w:tcW w:type="dxa" w:w="1757"/>
            <w:shd w:fill="F2F4F6" w:color="auto" w:val="clear"/>
            <w:tcMar>
              <w:top w:type="dxa" w:w="70"/>
              <w:left w:type="dxa" w:w="100"/>
              <w:bottom w:type="dxa" w:w="70"/>
              <w:right w:type="dxa" w:w="100"/>
            </w:tcMar>
            <w:vAlign w:val="top"/>
          </w:tcPr>
          <w:p>
            <w:pPr>
              <w:spacing w:after="0" w:before="0" w:line="252"/>
            </w:pPr>
            <w:r>
              <w:rPr>
                <w:sz w:val="17"/>
                <w:szCs w:val="17"/>
              </w:rPr>
              <w:t xml:space="preserve">30 minutes, incident lead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Engage the insurer's panel incident response firm</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Declaration under Section 4.2</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Incident lead, after the insurer notification in Section 10</w:t>
            </w:r>
          </w:p>
        </w:tc>
        <w:tc>
          <w:tcPr>
            <w:tcW w:type="dxa" w:w="1757"/>
            <w:shd w:fill="FFFFFF" w:color="auto" w:val="clear"/>
            <w:tcMar>
              <w:top w:type="dxa" w:w="70"/>
              <w:left w:type="dxa" w:w="100"/>
              <w:bottom w:type="dxa" w:w="70"/>
              <w:right w:type="dxa" w:w="100"/>
            </w:tcMar>
            <w:vAlign w:val="top"/>
          </w:tcPr>
          <w:p>
            <w:pPr>
              <w:spacing w:after="0" w:before="0" w:line="252"/>
            </w:pPr>
            <w:r>
              <w:rPr>
                <w:sz w:val="17"/>
                <w:szCs w:val="17"/>
              </w:rPr>
              <w:t xml:space="preserve">Immediately, executive sponsor</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09" w:id="1"/>
      <w:r>
        <w:t xml:space="preserve">3.1  Decisions that are never pre-authorized</w:t>
      </w:r>
      <w:bookmarkEnd w:id="1"/>
    </w:p>
    <w:p>
      <w:pPr>
        <w:spacing w:after="130" w:line="262"/>
      </w:pPr>
      <w:r>
        <w:t xml:space="preserve">The following are reserved to the executive decision authority named in Section 11.1 and are taken only after the consultations stated there:</w:t>
      </w:r>
    </w:p>
    <w:p>
      <w:pPr>
        <w:pStyle w:val="ListParagraph"/>
        <w:numPr>
          <w:ilvl w:val="0"/>
          <w:numId w:val="2"/>
        </w:numPr>
        <w:spacing w:after="60" w:line="262"/>
      </w:pPr>
      <w:r>
        <w:t xml:space="preserve">Any contact with the threat actor, including opening a chat portal link, replying to an email or calling a number in a ransom note.</w:t>
      </w:r>
    </w:p>
    <w:p>
      <w:pPr>
        <w:pStyle w:val="ListParagraph"/>
        <w:numPr>
          <w:ilvl w:val="0"/>
          <w:numId w:val="2"/>
        </w:numPr>
        <w:spacing w:after="60" w:line="262"/>
      </w:pPr>
      <w:r>
        <w:t xml:space="preserve">Any decision to pay, or to engage a party to negotiate or pay on the organization's behalf.</w:t>
      </w:r>
    </w:p>
    <w:p>
      <w:pPr>
        <w:pStyle w:val="ListParagraph"/>
        <w:numPr>
          <w:ilvl w:val="0"/>
          <w:numId w:val="2"/>
        </w:numPr>
        <w:spacing w:after="60" w:line="262"/>
      </w:pPr>
      <w:r>
        <w:t xml:space="preserve">Any public statement beyond the approved holding statement.</w:t>
      </w:r>
    </w:p>
    <w:p>
      <w:pPr>
        <w:pStyle w:val="ListParagraph"/>
        <w:numPr>
          <w:ilvl w:val="0"/>
          <w:numId w:val="2"/>
        </w:numPr>
        <w:spacing w:after="60" w:line="262"/>
      </w:pPr>
      <w:r>
        <w:t xml:space="preserve">Notification to regulators, affected individuals or customers under a legal obligation, which is made through legal counsel.</w:t>
      </w:r>
    </w:p>
    <w:p>
      <w:pPr>
        <w:pStyle w:val="ListParagraph"/>
        <w:numPr>
          <w:ilvl w:val="0"/>
          <w:numId w:val="2"/>
        </w:numPr>
        <w:spacing w:after="60" w:line="262"/>
      </w:pPr>
      <w:r>
        <w:t xml:space="preserve">Restoring a system to production before validation in Section 13.4 is complete.</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IF ONLY ONE LINE OF THIS SECTION IS ADOPTED</w:t>
            </w:r>
          </w:p>
          <w:p>
            <w:pPr>
              <w:spacing w:after="0" w:line="262"/>
            </w:pPr>
            <w:r>
              <w:t xml:space="preserve">Sign the internet disconnection authority before it is needed. In most organizations nobody below the chief executive believes they are allowed to take the whole business offline, and the chief executive is the person least likely to answer the phone at 2 a.m. on a Saturday, which is when ransomware is usually deployed.</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10" w:id="1"/>
      <w:r>
        <w:t xml:space="preserve">4.  Detection signals and declaration</w:t>
      </w:r>
      <w:bookmarkEnd w:id="1"/>
    </w:p>
    <w:p>
      <w:pPr>
        <w:spacing w:after="130" w:line="262"/>
      </w:pPr>
      <w:r>
        <w:t xml:space="preserve">Encryption is the last stage of a ransomware attack, not the first. The signals in 4.1 frequently appear hours or days earlier. Any staff member who observes a signal in the first group reports it to the IT service desk or the out-of-band number in PLN-IR-001 immediately. Any administrator or security provider who observes a signal in the second group reports it to the incident lead.</w:t>
      </w:r>
    </w:p>
    <w:p>
      <w:pPr>
        <w:spacing w:after="60" w:line="120"/>
      </w:pPr>
      <w:r>
        <w:rPr>
          <w:sz w:val="4"/>
          <w:szCs w:val="4"/>
        </w:rPr>
        <w:t xml:space="preserve"/>
      </w:r>
    </w:p>
    <w:p>
      <w:pPr>
        <w:pStyle w:val="Heading2"/>
        <w:keepNext/>
        <w:keepLines/>
        <w:spacing w:after="90" w:before="220"/>
      </w:pPr>
      <w:bookmarkStart w:name="_RG0011" w:id="1"/>
      <w:r>
        <w:t xml:space="preserve">4.1  Signals</w:t>
      </w:r>
      <w:bookmarkEnd w:id="1"/>
    </w:p>
    <w:p>
      <w:pPr>
        <w:keepNext/>
        <w:spacing w:after="70" w:before="180"/>
      </w:pPr>
      <w:r>
        <w:rPr>
          <w:b/>
          <w:bCs/>
          <w:color w:val="15314B"/>
          <w:sz w:val="19"/>
          <w:szCs w:val="19"/>
        </w:rPr>
        <w:t xml:space="preserve">Signals visible to any user</w:t>
      </w:r>
    </w:p>
    <w:p>
      <w:pPr>
        <w:pStyle w:val="ListParagraph"/>
        <w:numPr>
          <w:ilvl w:val="0"/>
          <w:numId w:val="2"/>
        </w:numPr>
        <w:spacing w:after="60" w:line="262"/>
      </w:pPr>
      <w:r>
        <w:t xml:space="preserve">Files that will not open, or have a new or unfamiliar extension.</w:t>
      </w:r>
    </w:p>
    <w:p>
      <w:pPr>
        <w:pStyle w:val="ListParagraph"/>
        <w:numPr>
          <w:ilvl w:val="0"/>
          <w:numId w:val="2"/>
        </w:numPr>
        <w:spacing w:after="60" w:line="262"/>
      </w:pPr>
      <w:r>
        <w:t xml:space="preserve">A ransom note as a text file, an HTML page, a changed desktop wallpaper or a printed page.</w:t>
      </w:r>
    </w:p>
    <w:p>
      <w:pPr>
        <w:pStyle w:val="ListParagraph"/>
        <w:numPr>
          <w:ilvl w:val="0"/>
          <w:numId w:val="2"/>
        </w:numPr>
        <w:spacing w:after="60" w:line="262"/>
      </w:pPr>
      <w:r>
        <w:t xml:space="preserve">Shared drives that are suddenly slow, empty, or full of renamed files.</w:t>
      </w:r>
    </w:p>
    <w:p>
      <w:pPr>
        <w:pStyle w:val="ListParagraph"/>
        <w:numPr>
          <w:ilvl w:val="0"/>
          <w:numId w:val="2"/>
        </w:numPr>
        <w:spacing w:after="60" w:line="262"/>
      </w:pPr>
      <w:r>
        <w:t xml:space="preserve">An email, call or message claiming to hold the organization's data.</w:t>
      </w:r>
    </w:p>
    <w:p>
      <w:pPr>
        <w:keepNext/>
        <w:spacing w:after="70" w:before="180"/>
      </w:pPr>
      <w:r>
        <w:rPr>
          <w:b/>
          <w:bCs/>
          <w:color w:val="15314B"/>
          <w:sz w:val="19"/>
          <w:szCs w:val="19"/>
        </w:rPr>
        <w:t xml:space="preserve">Signals visible to administrators and security tooling</w:t>
      </w:r>
    </w:p>
    <w:p>
      <w:pPr>
        <w:pStyle w:val="ListParagraph"/>
        <w:numPr>
          <w:ilvl w:val="0"/>
          <w:numId w:val="2"/>
        </w:numPr>
        <w:spacing w:after="60" w:line="262"/>
      </w:pPr>
      <w:r>
        <w:t xml:space="preserve">New accounts, particularly with administrative rights, created without a change record.</w:t>
      </w:r>
    </w:p>
    <w:p>
      <w:pPr>
        <w:pStyle w:val="ListParagraph"/>
        <w:numPr>
          <w:ilvl w:val="0"/>
          <w:numId w:val="2"/>
        </w:numPr>
        <w:spacing w:after="60" w:line="262"/>
      </w:pPr>
      <w:r>
        <w:t xml:space="preserve">Additions to privileged groups such as Domain Admins, Enterprise Admins, Global Administrator or equivalent cloud roles.</w:t>
      </w:r>
    </w:p>
    <w:p>
      <w:pPr>
        <w:pStyle w:val="ListParagraph"/>
        <w:numPr>
          <w:ilvl w:val="0"/>
          <w:numId w:val="2"/>
        </w:numPr>
        <w:spacing w:after="60" w:line="262"/>
      </w:pPr>
      <w:r>
        <w:t xml:space="preserve">Sign-ins to VPN or remote access from unusual locations, at unusual times, or from accounts that do not normally use them.</w:t>
      </w:r>
    </w:p>
    <w:p>
      <w:pPr>
        <w:pStyle w:val="ListParagraph"/>
        <w:numPr>
          <w:ilvl w:val="0"/>
          <w:numId w:val="2"/>
        </w:numPr>
        <w:spacing w:after="60" w:line="262"/>
      </w:pPr>
      <w:r>
        <w:t xml:space="preserve">Remote monitoring and management tools that the organization did not install.</w:t>
      </w:r>
    </w:p>
    <w:p>
      <w:pPr>
        <w:pStyle w:val="ListParagraph"/>
        <w:numPr>
          <w:ilvl w:val="0"/>
          <w:numId w:val="2"/>
        </w:numPr>
        <w:spacing w:after="60" w:line="262"/>
      </w:pPr>
      <w:r>
        <w:t xml:space="preserve">Credential dumping, unusual PowerShell activity, or use of frameworks such as Cobalt Strike detected by endpoint protection.</w:t>
      </w:r>
    </w:p>
    <w:p>
      <w:pPr>
        <w:pStyle w:val="ListParagraph"/>
        <w:numPr>
          <w:ilvl w:val="0"/>
          <w:numId w:val="2"/>
        </w:numPr>
        <w:spacing w:after="60" w:line="262"/>
      </w:pPr>
      <w:r>
        <w:t xml:space="preserve">Deletion of volume shadow copies, changes to backup jobs, disabled backup agents, or failed backups with no operational cause.</w:t>
      </w:r>
    </w:p>
    <w:p>
      <w:pPr>
        <w:pStyle w:val="ListParagraph"/>
        <w:numPr>
          <w:ilvl w:val="0"/>
          <w:numId w:val="2"/>
        </w:numPr>
        <w:spacing w:after="60" w:line="262"/>
      </w:pPr>
      <w:r>
        <w:t xml:space="preserve">Endpoint protection disabled, uninstalled or excluded on multiple hosts.</w:t>
      </w:r>
    </w:p>
    <w:p>
      <w:pPr>
        <w:pStyle w:val="ListParagraph"/>
        <w:numPr>
          <w:ilvl w:val="0"/>
          <w:numId w:val="2"/>
        </w:numPr>
        <w:spacing w:after="60" w:line="262"/>
      </w:pPr>
      <w:r>
        <w:t xml:space="preserve">Large or unusual outbound transfers, uploads to cloud storage services the organization does not use, or archive files created in staging locations.</w:t>
      </w:r>
    </w:p>
    <w:p>
      <w:pPr>
        <w:pStyle w:val="ListParagraph"/>
        <w:numPr>
          <w:ilvl w:val="0"/>
          <w:numId w:val="2"/>
        </w:numPr>
        <w:spacing w:after="60" w:line="262"/>
      </w:pPr>
      <w:r>
        <w:t xml:space="preserve">New services or scheduled tasks created on multiple systems in a short period.</w:t>
      </w:r>
    </w:p>
    <w:p>
      <w:pPr>
        <w:pStyle w:val="ListParagraph"/>
        <w:numPr>
          <w:ilvl w:val="0"/>
          <w:numId w:val="2"/>
        </w:numPr>
        <w:spacing w:after="60" w:line="262"/>
      </w:pPr>
      <w:r>
        <w:t xml:space="preserve">Unusual endpoint-to-endpoint traffic, such as one workstation connecting to many others over SMB or RDP.</w:t>
      </w:r>
    </w:p>
    <w:p>
      <w:pPr>
        <w:spacing w:after="60" w:line="120"/>
      </w:pPr>
      <w:r>
        <w:rPr>
          <w:sz w:val="4"/>
          <w:szCs w:val="4"/>
        </w:rPr>
        <w:t xml:space="preserve"/>
      </w:r>
    </w:p>
    <w:p>
      <w:pPr>
        <w:pStyle w:val="Heading2"/>
        <w:keepNext/>
        <w:keepLines/>
        <w:spacing w:after="90" w:before="220"/>
      </w:pPr>
      <w:bookmarkStart w:name="_RG0012" w:id="1"/>
      <w:r>
        <w:t xml:space="preserve">4.2  Declaration</w:t>
      </w:r>
      <w:bookmarkEnd w:id="1"/>
    </w:p>
    <w:p>
      <w:pPr>
        <w:spacing w:after="130" w:line="262"/>
      </w:pPr>
      <w:r>
        <w:t xml:space="preserve">The incident lead declares a ransomware incident under this playbook when any one of the following is true: encryption is confirmed on any system; a ransom or extortion demand is received and cannot be immediately shown to be a hoax; or two or more administrator signals from 4.1 are observed together and cannot be explained by an approved change. Declaration is recorded in the incident log with the time, the declaring person and the evidence relied on. Severity is set under PLN-IR-001.</w:t>
      </w:r>
    </w:p>
    <w:p>
      <w:pPr>
        <w:spacing w:after="130" w:line="262"/>
      </w:pPr>
      <w:r>
        <w:t xml:space="preserve">When in doubt, the incident lead declares. Standing down a declared incident costs an hour of disruption. Waiting for certainty while an attacker completes deployment costs the network.</w:t>
      </w:r>
    </w:p>
    <w:p>
      <w:pPr>
        <w:spacing w:after="60" w:line="120"/>
      </w:pPr>
      <w:r>
        <w:rPr>
          <w:sz w:val="4"/>
          <w:szCs w:val="4"/>
        </w:rPr>
        <w:t xml:space="preserve"/>
      </w:r>
    </w:p>
    <w:p>
      <w:pPr>
        <w:pStyle w:val="Heading2"/>
        <w:keepNext/>
        <w:keepLines/>
        <w:spacing w:after="90" w:before="220"/>
      </w:pPr>
      <w:bookmarkStart w:name="_RG0013" w:id="1"/>
      <w:r>
        <w:t xml:space="preserve">4.3  Hoax and opportunistic extortion</w:t>
      </w:r>
      <w:bookmarkEnd w:id="1"/>
    </w:p>
    <w:p>
      <w:pPr>
        <w:spacing w:after="130" w:line="262"/>
      </w:pPr>
      <w:r>
        <w:t xml:space="preserve">Some extortion messages claim a breach that did not happen, sometimes citing data from an older public breach. The incident lead treats such a message as a declared incident until scoping (Section 9) establishes whether any evidence of intrusion or exfiltration exists. The message, its headers and any sample data are preserved. Nobody replies to it.</w:t>
      </w:r>
    </w:p>
    <w:p>
      <w:pPr>
        <w:spacing w:after="60" w:line="120"/>
      </w:pPr>
      <w:r>
        <w:rPr>
          <w:sz w:val="4"/>
          <w:szCs w:val="4"/>
        </w:rPr>
        <w:t xml:space="preserve"/>
      </w:r>
    </w:p>
    <w:p>
      <w:pPr>
        <w:pStyle w:val="Heading1"/>
        <w:keepNext/>
        <w:keepLines/>
        <w:pBdr>
          <w:bottom w:val="single" w:color="D4DAE0" w:sz="4" w:space="4"/>
        </w:pBdr>
        <w:spacing w:after="140" w:before="300"/>
      </w:pPr>
      <w:bookmarkStart w:name="_RG0014" w:id="1"/>
      <w:r>
        <w:t xml:space="preserve">5.  The first hour</w:t>
      </w:r>
      <w:bookmarkEnd w:id="1"/>
    </w:p>
    <w:p>
      <w:pPr>
        <w:spacing w:after="130" w:line="262"/>
      </w:pPr>
      <w:r>
        <w:t xml:space="preserve">The first hour decides how much of the network survives and how much evidence remains. The actions below run in parallel where staff allow, in the priority order shown where they do not. The full checklist with sign-off columns is Appendix A.</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4970"/>
        <w:gridCol w:w="1949"/>
        <w:gridCol w:w="2340"/>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97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970"/>
            <w:shd w:fill="FFFFFF" w:color="auto" w:val="clear"/>
            <w:tcMar>
              <w:top w:type="dxa" w:w="70"/>
              <w:left w:type="dxa" w:w="100"/>
              <w:bottom w:type="dxa" w:w="70"/>
              <w:right w:type="dxa" w:w="100"/>
            </w:tcMar>
            <w:vAlign w:val="top"/>
          </w:tcPr>
          <w:p>
            <w:pPr>
              <w:spacing w:after="0" w:before="0" w:line="252"/>
            </w:pPr>
            <w:r>
              <w:rPr>
                <w:sz w:val="17"/>
                <w:szCs w:val="17"/>
              </w:rPr>
              <w:t xml:space="preserve">Declare the incident and open the incident log and decision log. Assign a scribe.</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Incident log entry with declaration time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970"/>
            <w:shd w:fill="F2F4F6" w:color="auto" w:val="clear"/>
            <w:tcMar>
              <w:top w:type="dxa" w:w="70"/>
              <w:left w:type="dxa" w:w="100"/>
              <w:bottom w:type="dxa" w:w="70"/>
              <w:right w:type="dxa" w:w="100"/>
            </w:tcMar>
            <w:vAlign w:val="top"/>
          </w:tcPr>
          <w:p>
            <w:pPr>
              <w:spacing w:after="0" w:before="0" w:line="252"/>
            </w:pPr>
            <w:r>
              <w:rPr>
                <w:sz w:val="17"/>
                <w:szCs w:val="17"/>
              </w:rPr>
              <w:t xml:space="preserve">Move all incident communication to the out-of-band channel in PLN-IR-001. Do not use corporate email, chat or phones that depend on the affected network.</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Log entry naming the channel in use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970"/>
            <w:shd w:fill="FFFFFF" w:color="auto" w:val="clear"/>
            <w:tcMar>
              <w:top w:type="dxa" w:w="70"/>
              <w:left w:type="dxa" w:w="100"/>
              <w:bottom w:type="dxa" w:w="70"/>
              <w:right w:type="dxa" w:w="100"/>
            </w:tcMar>
            <w:vAlign w:val="top"/>
          </w:tcPr>
          <w:p>
            <w:pPr>
              <w:spacing w:after="0" w:before="0" w:line="252"/>
            </w:pPr>
            <w:r>
              <w:rPr>
                <w:sz w:val="17"/>
                <w:szCs w:val="17"/>
              </w:rPr>
              <w:t xml:space="preserve">Isolate affected systems from the network: unplug the network cable, disable Wi-Fi, or use endpoint isolation in the security tooling. Leave them powered on.</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List of isolated systems with time and method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970"/>
            <w:shd w:fill="F2F4F6" w:color="auto" w:val="clear"/>
            <w:tcMar>
              <w:top w:type="dxa" w:w="70"/>
              <w:left w:type="dxa" w:w="100"/>
              <w:bottom w:type="dxa" w:w="70"/>
              <w:right w:type="dxa" w:w="100"/>
            </w:tcMar>
            <w:vAlign w:val="top"/>
          </w:tcPr>
          <w:p>
            <w:pPr>
              <w:spacing w:after="0" w:before="0" w:line="252"/>
            </w:pPr>
            <w:r>
              <w:rPr>
                <w:sz w:val="17"/>
                <w:szCs w:val="17"/>
              </w:rPr>
              <w:t xml:space="preserve">If multiple systems or subnets are affected, isolate at the switch or firewall level, prioritizing critical systems. Disconnect the internet if the trigger in Section 3 is met.</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IT operations lead or incident lead</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Decision log entry; firewall or switch change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970"/>
            <w:shd w:fill="FFFFFF" w:color="auto" w:val="clear"/>
            <w:tcMar>
              <w:top w:type="dxa" w:w="70"/>
              <w:left w:type="dxa" w:w="100"/>
              <w:bottom w:type="dxa" w:w="70"/>
              <w:right w:type="dxa" w:w="100"/>
            </w:tcMar>
            <w:vAlign w:val="top"/>
          </w:tcPr>
          <w:p>
            <w:pPr>
              <w:spacing w:after="0" w:before="0" w:line="252"/>
            </w:pPr>
            <w:r>
              <w:rPr>
                <w:sz w:val="17"/>
                <w:szCs w:val="17"/>
              </w:rPr>
              <w:t xml:space="preserve">Suspend backup jobs, disconnect backup repositories that are still online, and lock the backup console (Section 8).</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Backup state record in Appendix B</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4970"/>
            <w:shd w:fill="F2F4F6" w:color="auto" w:val="clear"/>
            <w:tcMar>
              <w:top w:type="dxa" w:w="70"/>
              <w:left w:type="dxa" w:w="100"/>
              <w:bottom w:type="dxa" w:w="70"/>
              <w:right w:type="dxa" w:w="100"/>
            </w:tcMar>
            <w:vAlign w:val="top"/>
          </w:tcPr>
          <w:p>
            <w:pPr>
              <w:spacing w:after="0" w:before="0" w:line="252"/>
            </w:pPr>
            <w:r>
              <w:rPr>
                <w:sz w:val="17"/>
                <w:szCs w:val="17"/>
              </w:rPr>
              <w:t xml:space="preserve">Disable remote access paths that could be the entry point: VPN, remote desktop gateways, third-party remote support tools.</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 or IT operations lead</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Change record with time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4970"/>
            <w:shd w:fill="FFFFFF" w:color="auto" w:val="clear"/>
            <w:tcMar>
              <w:top w:type="dxa" w:w="70"/>
              <w:left w:type="dxa" w:w="100"/>
              <w:bottom w:type="dxa" w:w="70"/>
              <w:right w:type="dxa" w:w="100"/>
            </w:tcMar>
            <w:vAlign w:val="top"/>
          </w:tcPr>
          <w:p>
            <w:pPr>
              <w:spacing w:after="0" w:before="0" w:line="252"/>
            </w:pPr>
            <w:r>
              <w:rPr>
                <w:sz w:val="17"/>
                <w:szCs w:val="17"/>
              </w:rPr>
              <w:t xml:space="preserve">Photograph every ransom note on screen, then preserve one copy of each note file without opening any link it contains.</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Photographs and note files in the evidence store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4970"/>
            <w:shd w:fill="F2F4F6" w:color="auto" w:val="clear"/>
            <w:tcMar>
              <w:top w:type="dxa" w:w="70"/>
              <w:left w:type="dxa" w:w="100"/>
              <w:bottom w:type="dxa" w:w="70"/>
              <w:right w:type="dxa" w:w="100"/>
            </w:tcMar>
            <w:vAlign w:val="top"/>
          </w:tcPr>
          <w:p>
            <w:pPr>
              <w:spacing w:after="0" w:before="0" w:line="252"/>
            </w:pPr>
            <w:r>
              <w:rPr>
                <w:sz w:val="17"/>
                <w:szCs w:val="17"/>
              </w:rPr>
              <w:t xml:space="preserve">Notify the cyber insurer through the claims route in the policy, and legal counsel (Section 10).</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Insurer liaison; legal counsel contact</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Claim reference; time of counsel contact</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4970"/>
            <w:shd w:fill="FFFFFF" w:color="auto" w:val="clear"/>
            <w:tcMar>
              <w:top w:type="dxa" w:w="70"/>
              <w:left w:type="dxa" w:w="100"/>
              <w:bottom w:type="dxa" w:w="70"/>
              <w:right w:type="dxa" w:w="100"/>
            </w:tcMar>
            <w:vAlign w:val="top"/>
          </w:tcPr>
          <w:p>
            <w:pPr>
              <w:spacing w:after="0" w:before="0" w:line="252"/>
            </w:pPr>
            <w:r>
              <w:rPr>
                <w:sz w:val="17"/>
                <w:szCs w:val="17"/>
              </w:rPr>
              <w:t xml:space="preserve">Brief the executive sponsor with what is known, what is not known, and the next update time.</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Decision log entry</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4970"/>
            <w:shd w:fill="F2F4F6" w:color="auto" w:val="clear"/>
            <w:tcMar>
              <w:top w:type="dxa" w:w="70"/>
              <w:left w:type="dxa" w:w="100"/>
              <w:bottom w:type="dxa" w:w="70"/>
              <w:right w:type="dxa" w:w="100"/>
            </w:tcMar>
            <w:vAlign w:val="top"/>
          </w:tcPr>
          <w:p>
            <w:pPr>
              <w:spacing w:after="0" w:before="0" w:line="252"/>
            </w:pPr>
            <w:r>
              <w:rPr>
                <w:sz w:val="17"/>
                <w:szCs w:val="17"/>
              </w:rPr>
              <w:t xml:space="preserve">Issue the internal holding message to staff (Appendix F) instructing them not to power off devices, not to discuss the incident externally, and where to report symptoms.</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Communications lead</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Copy of message with time sent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5" w:id="1"/>
      <w:r>
        <w:t xml:space="preserve">5.1  What not to do</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3898"/>
        <w:gridCol w:w="3315"/>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 not</w:t>
            </w:r>
          </w:p>
        </w:tc>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Why</w:t>
            </w:r>
          </w:p>
        </w:tc>
        <w:tc>
          <w:tcPr>
            <w:tcW w:type="dxa" w:w="331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 instead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Power off infected machines indiscriminately</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Shutting down destroys memory contents, including encryption keys, running processes and attacker tooling that may exist only in memory</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Disconnect from the network and leave powered on. Power off only if a device cannot be isolated any other way, and record why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Wipe, reimage or rebuild any system</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Destroys the evidence needed to find the entry point, scope exfiltration and support insurance and legal claims</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Preserve first. Rebuild in Section 13 after evidence is captured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Contact the threat actor, open the ransom portal or reply to the note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Starts a negotiation clock, confirms the organization is engaged, may breach policy conditions and cannot be undone</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Preserve the note. Contact is decided in Section 11</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Reconnect backups to check whether they are intact</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An attacker with network access will encrypt or delete them</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Check from an isolated network path in Section 8</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Run antivirus scans, cleanup tools or decryptors downloaded from the internet</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Alters evidence and may destroy files that a legitimate decryptor could later recover</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Wait for the incident response firm, and ask law enforcement whether a decryptor exists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Reset every password at once from a workstation that may be compromised</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Hands the new credentials to an attacker who is watching</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Follow the identity sequence in Section 7, from a clean administrative workstation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Discuss the incident on corporate email or chat</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The attacker may be reading them</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Use the out-of-band channel</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Speculate publicly or confirm details to anyone outside the response</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Statements can create legal exposure and may be quoted by the attacker</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Use the approved holding statement only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Delete the ransom note or rename encrypted files</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The note identifies the variant and the encrypted file names support recovery</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Leave files where they are</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ONE INSTRUCTION EVERY MEMBER OF STAFF NEEDS</w:t>
            </w:r>
          </w:p>
          <w:p>
            <w:pPr>
              <w:spacing w:after="0" w:line="262"/>
            </w:pPr>
            <w:r>
              <w:t xml:space="preserve">Unplug it from the network. Do not turn it off. Call the number on the incident card. Staff are given this sentence before an incident, not during one, because the instinct to hold the power button is strong and acting on it is permanent.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6" w:id="1"/>
      <w:r>
        <w:t xml:space="preserve">5.2  Evidence preservation</w:t>
      </w:r>
      <w:bookmarkEnd w:id="1"/>
    </w:p>
    <w:p>
      <w:pPr>
        <w:spacing w:after="130" w:line="262"/>
      </w:pPr>
      <w:r>
        <w:t xml:space="preserve">Until the incident response firm takes over evidence handling, the IT operations lead preserves at least the following, and records each item in the evidence register in PLN-IR-001 with who collected it, when, from where and its hash where one can be computed:</w:t>
      </w:r>
    </w:p>
    <w:p>
      <w:pPr>
        <w:pStyle w:val="ListParagraph"/>
        <w:numPr>
          <w:ilvl w:val="0"/>
          <w:numId w:val="2"/>
        </w:numPr>
        <w:spacing w:after="60" w:line="262"/>
      </w:pPr>
      <w:r>
        <w:t xml:space="preserve">Memory images and disk images from a sample of affected systems, including at least one of the earliest affected, where the team has the tooling and skill to capture them without altering the system. Where it does not, the systems are left isolated and powered on for the responders.</w:t>
      </w:r>
    </w:p>
    <w:p>
      <w:pPr>
        <w:pStyle w:val="ListParagraph"/>
        <w:numPr>
          <w:ilvl w:val="0"/>
          <w:numId w:val="2"/>
        </w:numPr>
        <w:spacing w:after="60" w:line="262"/>
      </w:pPr>
      <w:r>
        <w:t xml:space="preserve">For cloud workloads, snapshots of affected volumes.</w:t>
      </w:r>
    </w:p>
    <w:p>
      <w:pPr>
        <w:pStyle w:val="ListParagraph"/>
        <w:numPr>
          <w:ilvl w:val="0"/>
          <w:numId w:val="2"/>
        </w:numPr>
        <w:spacing w:after="60" w:line="262"/>
      </w:pPr>
      <w:r>
        <w:t xml:space="preserve">Firewall, VPN, proxy, DNS and remote access logs, exported before they roll over. Log retention on network devices is often hours or days.</w:t>
      </w:r>
    </w:p>
    <w:p>
      <w:pPr>
        <w:pStyle w:val="ListParagraph"/>
        <w:numPr>
          <w:ilvl w:val="0"/>
          <w:numId w:val="2"/>
        </w:numPr>
        <w:spacing w:after="60" w:line="262"/>
      </w:pPr>
      <w:r>
        <w:t xml:space="preserve">Identity provider sign-in and audit logs, and directory audit logs.</w:t>
      </w:r>
    </w:p>
    <w:p>
      <w:pPr>
        <w:pStyle w:val="ListParagraph"/>
        <w:numPr>
          <w:ilvl w:val="0"/>
          <w:numId w:val="2"/>
        </w:numPr>
        <w:spacing w:after="60" w:line="262"/>
      </w:pPr>
      <w:r>
        <w:t xml:space="preserve">Endpoint protection alerts and telemetry for the period from at least 30 days before detection, or the full retention available if shorter.</w:t>
      </w:r>
    </w:p>
    <w:p>
      <w:pPr>
        <w:pStyle w:val="ListParagraph"/>
        <w:numPr>
          <w:ilvl w:val="0"/>
          <w:numId w:val="2"/>
        </w:numPr>
        <w:spacing w:after="60" w:line="262"/>
      </w:pPr>
      <w:r>
        <w:t xml:space="preserve">Email logs for any account suspected of compromise.</w:t>
      </w:r>
    </w:p>
    <w:p>
      <w:pPr>
        <w:pStyle w:val="ListParagraph"/>
        <w:numPr>
          <w:ilvl w:val="0"/>
          <w:numId w:val="2"/>
        </w:numPr>
        <w:spacing w:after="60" w:line="262"/>
      </w:pPr>
      <w:r>
        <w:t xml:space="preserve">Ransom notes, extortion messages and any sample files sent by the attacker.</w:t>
      </w:r>
    </w:p>
    <w:p>
      <w:pPr>
        <w:pStyle w:val="ListParagraph"/>
        <w:numPr>
          <w:ilvl w:val="0"/>
          <w:numId w:val="2"/>
        </w:numPr>
        <w:spacing w:after="60" w:line="262"/>
      </w:pPr>
      <w:r>
        <w:t xml:space="preserve">Backup system logs and job history.</w:t>
      </w:r>
    </w:p>
    <w:p>
      <w:pPr>
        <w:spacing w:after="130" w:line="262"/>
      </w:pPr>
      <w:r>
        <w:t xml:space="preserve">Evidence is written to storage that is not connected to the affected network, such as encrypted removable media or a separate cloud storage account created for the incident with credentials not stored on the affected network.</w:t>
      </w:r>
    </w:p>
    <w:p>
      <w:pPr>
        <w:spacing w:after="60" w:line="120"/>
      </w:pPr>
      <w:r>
        <w:rPr>
          <w:sz w:val="4"/>
          <w:szCs w:val="4"/>
        </w:rPr>
        <w:t xml:space="preserve"/>
      </w:r>
    </w:p>
    <w:p>
      <w:pPr>
        <w:pStyle w:val="Heading1"/>
        <w:keepNext/>
        <w:keepLines/>
        <w:pBdr>
          <w:bottom w:val="single" w:color="D4DAE0" w:sz="4" w:space="4"/>
        </w:pBdr>
        <w:spacing w:after="140" w:before="300"/>
      </w:pPr>
      <w:bookmarkStart w:name="_RG0017" w:id="1"/>
      <w:r>
        <w:t xml:space="preserve">6.  Response timeline</w:t>
      </w:r>
      <w:bookmarkEnd w:id="1"/>
    </w:p>
    <w:p>
      <w:pPr>
        <w:spacing w:after="130" w:line="262"/>
      </w:pPr>
      <w:r>
        <w:t xml:space="preserve">The timeline sets the expected state at each point. It is a target, not a guarantee; the incident lead records in the incident log any milestone missed and the reason. Times run from declaration.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364"/>
        <w:gridCol w:w="4873"/>
        <w:gridCol w:w="1754"/>
        <w:gridCol w:w="1755"/>
      </w:tblGrid>
      <w:tr>
        <w:trPr>
          <w:cantSplit/>
          <w:tblHeader/>
        </w:trPr>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When</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Expected state</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Lead role</w:t>
            </w:r>
          </w:p>
        </w:tc>
        <w:tc>
          <w:tcPr>
            <w:tcW w:type="dxa" w:w="175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Record</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0 to 1 hour</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Incident declared. Affected systems isolated. Backups suspended and locked. Remote access paths closed. Insurer and counsel notified. Executive sponsor briefed. Staff holding message issued.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Appendix A complete</w:t>
            </w:r>
          </w:p>
        </w:tc>
      </w:tr>
      <w:tr>
        <w:trPr>
          <w:cantSplit/>
        </w:trPr>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to 4 hours</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Incident response firm engaged with insurer consent. Privileged credentials reset from a clean workstation. Sessions revoked. Rogue accounts disabled. Backup isolation confirmed. Initial scope of encryption recorded. Law enforcement contacted.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Incident lead, identity administrator, backup owner</w:t>
            </w:r>
          </w:p>
        </w:tc>
        <w:tc>
          <w:tcPr>
            <w:tcW w:type="dxa" w:w="1755"/>
            <w:shd w:fill="F2F4F6" w:color="auto" w:val="clear"/>
            <w:tcMar>
              <w:top w:type="dxa" w:w="70"/>
              <w:left w:type="dxa" w:w="100"/>
              <w:bottom w:type="dxa" w:w="70"/>
              <w:right w:type="dxa" w:w="100"/>
            </w:tcMar>
            <w:vAlign w:val="top"/>
          </w:tcPr>
          <w:p>
            <w:pPr>
              <w:spacing w:after="0" w:before="0" w:line="252"/>
            </w:pPr>
            <w:r>
              <w:rPr>
                <w:sz w:val="17"/>
                <w:szCs w:val="17"/>
              </w:rPr>
              <w:t xml:space="preserve">Appendix B in progress; Appendix C started</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4 to 24 hours</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Network segmentation in place. Patient zero candidates identified. Exfiltration indicators reviewed. Legal analysis of notification obligations started. Recovery priorities confirmed against the critical asset list. External holding statement approved and ready.</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Incident lead, legal counsel</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Scoping record; Appendix E drafted</w:t>
            </w:r>
          </w:p>
        </w:tc>
      </w:tr>
      <w:tr>
        <w:trPr>
          <w:cantSplit/>
        </w:trPr>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Day 2 to 3</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Ransom decision framework convened if a demand stands (Section 11). Clean identity infrastructure available. Second credential reset cycle completed where required. Rebuild or restore decision made per system.</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Executive decision authority, IT operations lead</w:t>
            </w:r>
          </w:p>
        </w:tc>
        <w:tc>
          <w:tcPr>
            <w:tcW w:type="dxa" w:w="1755"/>
            <w:shd w:fill="F2F4F6" w:color="auto" w:val="clear"/>
            <w:tcMar>
              <w:top w:type="dxa" w:w="70"/>
              <w:left w:type="dxa" w:w="100"/>
              <w:bottom w:type="dxa" w:w="70"/>
              <w:right w:type="dxa" w:w="100"/>
            </w:tcMar>
            <w:vAlign w:val="top"/>
          </w:tcPr>
          <w:p>
            <w:pPr>
              <w:spacing w:after="0" w:before="0" w:line="252"/>
            </w:pPr>
            <w:r>
              <w:rPr>
                <w:sz w:val="17"/>
                <w:szCs w:val="17"/>
              </w:rPr>
              <w:t xml:space="preserve">Appendix D; decision log</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Day 3 to 14</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Core infrastructure and line-of-business systems recovered in dependency order and validated before reconnection. Notification deadlines tracked and met through counsel. Monitoring at heightened level.</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 legal counsel</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Appendix E complete per system; Appendix C</w:t>
            </w:r>
          </w:p>
        </w:tc>
      </w:tr>
      <w:tr>
        <w:trPr>
          <w:cantSplit/>
        </w:trPr>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Day 14 to 30</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Incident declared closed against the criteria in Section 12.3. Heightened monitoring continues. After-action review held.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1755"/>
            <w:shd w:fill="F2F4F6" w:color="auto" w:val="clear"/>
            <w:tcMar>
              <w:top w:type="dxa" w:w="70"/>
              <w:left w:type="dxa" w:w="100"/>
              <w:bottom w:type="dxa" w:w="70"/>
              <w:right w:type="dxa" w:w="100"/>
            </w:tcMar>
            <w:vAlign w:val="top"/>
          </w:tcPr>
          <w:p>
            <w:pPr>
              <w:spacing w:after="0" w:before="0" w:line="252"/>
            </w:pPr>
            <w:r>
              <w:rPr>
                <w:sz w:val="17"/>
                <w:szCs w:val="17"/>
              </w:rPr>
              <w:t xml:space="preserve">Closure record; after-action record in PLN-IR-001</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Day 30 to 90</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Hardening actions from Section 15 completed or scheduled with owners. Playbook revised.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Executive sponsor</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Hardening tracker; revised playbook</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18" w:id="1"/>
      <w:r>
        <w:t xml:space="preserve">7.  Containment by priority</w:t>
      </w:r>
      <w:bookmarkEnd w:id="1"/>
    </w:p>
    <w:p>
      <w:pPr>
        <w:spacing w:after="130" w:line="262"/>
      </w:pPr>
      <w:r>
        <w:t xml:space="preserve">Containment runs in the order below. Identity comes first because the attacker's access is held in accounts and tokens, and network isolation alone does not remove it from cloud services that are reachable from anywhere. All identity actions are performed from an administrative workstation known to be clean, such as a newly built device or one that was powered off and disconnected throughout the attack, never from a workstation on the affected network. The checklist with sign-off columns is Appendix B.</w:t>
      </w:r>
    </w:p>
    <w:p>
      <w:pPr>
        <w:spacing w:after="60" w:line="120"/>
      </w:pPr>
      <w:r>
        <w:rPr>
          <w:sz w:val="4"/>
          <w:szCs w:val="4"/>
        </w:rPr>
        <w:t xml:space="preserve"/>
      </w:r>
    </w:p>
    <w:p>
      <w:pPr>
        <w:pStyle w:val="Heading2"/>
        <w:keepNext/>
        <w:keepLines/>
        <w:spacing w:after="90" w:before="220"/>
      </w:pPr>
      <w:bookmarkStart w:name="_RG0019" w:id="1"/>
      <w:r>
        <w:t xml:space="preserve">7.1  Priority 1: identity</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262"/>
        <w:gridCol w:w="1754"/>
        <w:gridCol w:w="2146"/>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26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1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Export the current membership of every privileged group and role, on premises and in the cloud, and compare it with the last approved list. Record every difference.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Privileged membership export with differences marked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Identify accounts created or enabled since the earliest suspected compromise date, and any account whose password, MFA method or role changed in that period without a change record.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Account change report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Disable every account identified in 1.1 and 1.2 that cannot be explained. Disable, do not delete: the account and its history are evidence.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List of disabled accounts with time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1.4</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Reset passwords for all privileged accounts, including break-glass accounts, using unique random values held offline. Reset service account credentials and update the dependent services in a controlled order.</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Reset record per account, without the passwords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1.5</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Revoke sessions and refresh tokens for all privileged accounts and for any user account suspected of compromise. In Microsoft Entra ID this is the Revoke sessions action or Revoke-MgUserSignInSession; equivalent functions exist in other identity providers.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Revocation record per account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1.6</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In an on-premises Active Directory, reset the KRBTGT account password twice, waiting at least 10 hours between the two resets so the first replicates fully, or longer than the maximum ticket lifetime if that has been changed from the default. The responders may direct a different timing where the attacker is still active.</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 under the incident response firm's direction</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Reset times for both resets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1.7</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Review and remove MFA methods registered during the compromise period, OAuth application consents granted in the period, and mailbox forwarding rules created in the period.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List of items removed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1.8</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Review conditional access and sign-in policies for changes made during the compromise period and revert unauthorized changes.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Policy change report</w:t>
            </w:r>
          </w:p>
        </w:tc>
      </w:tr>
    </w:tbl>
    <w:p>
      <w:pPr>
        <w:spacing w:after="120" w:line="120"/>
      </w:pPr>
      <w:r>
        <w:rPr>
          <w:sz w:val="4"/>
          <w:szCs w:val="4"/>
        </w:rPr>
        <w:t xml:space="preserve"/>
      </w:r>
    </w:p>
    <w:p>
      <w:pPr>
        <w:spacing w:after="130" w:line="262"/>
      </w:pPr>
      <w:r>
        <w:t xml:space="preserve">Revoking refresh tokens prevents new tokens being issued but does not end access already granted. In Microsoft Entra ID, access tokens are valid for one hour by default after issue, and session tokens issued by individual applications cannot be revoked by the identity provider. Disabling the account, revoking sessions and, where supported, continuous access evaluation are applied together, and the identity administrator records that access may persist for up to the token lifetime.</w:t>
      </w:r>
    </w:p>
    <w:p>
      <w:pPr>
        <w:spacing w:after="130" w:line="262"/>
      </w:pPr>
      <w:r>
        <w:t xml:space="preserve">Password resets for all users follow once the environment is clean enough that the new passwords will not be captured, and in any case before users are reconnected to restored systems. A reset performed while the attacker still controls a domain controller is repeated.</w:t>
      </w:r>
    </w:p>
    <w:p>
      <w:pPr>
        <w:spacing w:after="60" w:line="120"/>
      </w:pPr>
      <w:r>
        <w:rPr>
          <w:sz w:val="4"/>
          <w:szCs w:val="4"/>
        </w:rPr>
        <w:t xml:space="preserve"/>
      </w:r>
    </w:p>
    <w:p>
      <w:pPr>
        <w:pStyle w:val="Heading2"/>
        <w:keepNext/>
        <w:keepLines/>
        <w:spacing w:after="90" w:before="220"/>
      </w:pPr>
      <w:bookmarkStart w:name="_RG0020" w:id="1"/>
      <w:r>
        <w:t xml:space="preserve">7.2  Priority 2: remote access and entry points</w:t>
      </w:r>
      <w:bookmarkEnd w:id="1"/>
    </w:p>
    <w:p>
      <w:pPr>
        <w:pStyle w:val="ListParagraph"/>
        <w:numPr>
          <w:ilvl w:val="0"/>
          <w:numId w:val="2"/>
        </w:numPr>
        <w:spacing w:after="60" w:line="262"/>
      </w:pPr>
      <w:r>
        <w:t xml:space="preserve">VPN, remote desktop gateways, published remote desktop and third-party remote support tools remain disabled until the entry point is identified and closed.</w:t>
      </w:r>
    </w:p>
    <w:p>
      <w:pPr>
        <w:pStyle w:val="ListParagraph"/>
        <w:numPr>
          <w:ilvl w:val="0"/>
          <w:numId w:val="2"/>
        </w:numPr>
        <w:spacing w:after="60" w:line="262"/>
      </w:pPr>
      <w:r>
        <w:t xml:space="preserve">Single sign-on federation to external services is reviewed; trusts and federation settings added during the compromise period are removed.</w:t>
      </w:r>
    </w:p>
    <w:p>
      <w:pPr>
        <w:pStyle w:val="ListParagraph"/>
        <w:numPr>
          <w:ilvl w:val="0"/>
          <w:numId w:val="2"/>
        </w:numPr>
        <w:spacing w:after="60" w:line="262"/>
      </w:pPr>
      <w:r>
        <w:t xml:space="preserve">Public-facing services with known exploitable vulnerabilities are taken offline or placed behind a block until patched.</w:t>
      </w:r>
    </w:p>
    <w:p>
      <w:pPr>
        <w:pStyle w:val="ListParagraph"/>
        <w:numPr>
          <w:ilvl w:val="0"/>
          <w:numId w:val="2"/>
        </w:numPr>
        <w:spacing w:after="60" w:line="262"/>
      </w:pPr>
      <w:r>
        <w:t xml:space="preserve">Accounts belonging to managed service providers and suppliers are disabled until the provider confirms, in writing, that its own environment is not the source.</w:t>
      </w:r>
    </w:p>
    <w:p>
      <w:pPr>
        <w:spacing w:after="60" w:line="120"/>
      </w:pPr>
      <w:r>
        <w:rPr>
          <w:sz w:val="4"/>
          <w:szCs w:val="4"/>
        </w:rPr>
        <w:t xml:space="preserve"/>
      </w:r>
    </w:p>
    <w:p>
      <w:pPr>
        <w:pStyle w:val="Heading2"/>
        <w:keepNext/>
        <w:keepLines/>
        <w:spacing w:after="90" w:before="220"/>
      </w:pPr>
      <w:bookmarkStart w:name="_RG0021" w:id="1"/>
      <w:r>
        <w:t xml:space="preserve">7.3  Priority 3: network segmentation</w:t>
      </w:r>
      <w:bookmarkEnd w:id="1"/>
    </w:p>
    <w:p>
      <w:pPr>
        <w:pStyle w:val="ListParagraph"/>
        <w:numPr>
          <w:ilvl w:val="0"/>
          <w:numId w:val="2"/>
        </w:numPr>
        <w:spacing w:after="60" w:line="262"/>
      </w:pPr>
      <w:r>
        <w:t xml:space="preserve">Affected segments remain isolated. Unaffected segments are separated from affected ones at the firewall, with default deny between them.</w:t>
      </w:r>
    </w:p>
    <w:p>
      <w:pPr>
        <w:pStyle w:val="ListParagraph"/>
        <w:numPr>
          <w:ilvl w:val="0"/>
          <w:numId w:val="2"/>
        </w:numPr>
        <w:spacing w:after="60" w:line="262"/>
      </w:pPr>
      <w:r>
        <w:t xml:space="preserve">Endpoint-to-endpoint SMB and RDP traffic is blocked at the host firewall or network layer except where explicitly required for recovery.</w:t>
      </w:r>
    </w:p>
    <w:p>
      <w:pPr>
        <w:pStyle w:val="ListParagraph"/>
        <w:numPr>
          <w:ilvl w:val="0"/>
          <w:numId w:val="2"/>
        </w:numPr>
        <w:spacing w:after="60" w:line="262"/>
      </w:pPr>
      <w:r>
        <w:t xml:space="preserve">Domain controllers, backup infrastructure and hypervisor management interfaces are placed in a restricted segment reachable only from the clean administrative workstations.</w:t>
      </w:r>
    </w:p>
    <w:p>
      <w:pPr>
        <w:pStyle w:val="ListParagraph"/>
        <w:numPr>
          <w:ilvl w:val="0"/>
          <w:numId w:val="2"/>
        </w:numPr>
        <w:spacing w:after="60" w:line="262"/>
      </w:pPr>
      <w:r>
        <w:t xml:space="preserve">Outbound internet access, if restored before recovery is complete, is restricted to an allow list of destinations needed for response and recovery.</w:t>
      </w:r>
    </w:p>
    <w:p>
      <w:pPr>
        <w:pStyle w:val="ListParagraph"/>
        <w:numPr>
          <w:ilvl w:val="0"/>
          <w:numId w:val="2"/>
        </w:numPr>
        <w:spacing w:after="60" w:line="262"/>
      </w:pPr>
      <w:r>
        <w:t xml:space="preserve">Each segmentation change is recorded with a rollback reference so it can be reversed deliberately rather than forgotten.</w:t>
      </w:r>
    </w:p>
    <w:p>
      <w:pPr>
        <w:spacing w:after="60" w:line="120"/>
      </w:pPr>
      <w:r>
        <w:rPr>
          <w:sz w:val="4"/>
          <w:szCs w:val="4"/>
        </w:rPr>
        <w:t xml:space="preserve"/>
      </w:r>
    </w:p>
    <w:p>
      <w:pPr>
        <w:pStyle w:val="Heading2"/>
        <w:keepNext/>
        <w:keepLines/>
        <w:spacing w:after="90" w:before="220"/>
      </w:pPr>
      <w:bookmarkStart w:name="_RG0022" w:id="1"/>
      <w:r>
        <w:t xml:space="preserve">7.4  Priority 4: persistence</w:t>
      </w:r>
      <w:bookmarkEnd w:id="1"/>
    </w:p>
    <w:p>
      <w:pPr>
        <w:spacing w:after="130" w:line="262"/>
      </w:pPr>
      <w:r>
        <w:t xml:space="preserve">Under the direction of the incident response firm, the team searches for and records the mechanisms the attacker could use to return: new services and scheduled tasks, startup items, web shells on public servers, unauthorized remote management tools, implants detected by endpoint protection, rogue accounts and keys, and changes to group policy. The search covers both persistence installed from outside, such as backdoor accounts and exposed services, and persistence installed inside, such as implants and abuse of legitimate administration tools. Persistence mechanisms are recorded before removal and removed only as part of eradication in Section 12, so removal of one does not alert the attacker to use another.</w:t>
      </w:r>
    </w:p>
    <w:p>
      <w:pPr>
        <w:spacing w:after="60" w:line="120"/>
      </w:pPr>
      <w:r>
        <w:rPr>
          <w:sz w:val="4"/>
          <w:szCs w:val="4"/>
        </w:rPr>
        <w:t xml:space="preserve"/>
      </w:r>
    </w:p>
    <w:p>
      <w:pPr>
        <w:pStyle w:val="Heading1"/>
        <w:keepNext/>
        <w:keepLines/>
        <w:pBdr>
          <w:bottom w:val="single" w:color="D4DAE0" w:sz="4" w:space="4"/>
        </w:pBdr>
        <w:spacing w:after="140" w:before="300"/>
      </w:pPr>
      <w:bookmarkStart w:name="_RG0023" w:id="1"/>
      <w:r>
        <w:t xml:space="preserve">8.  Protecting the backups</w:t>
      </w:r>
      <w:bookmarkEnd w:id="1"/>
    </w:p>
    <w:p>
      <w:pPr>
        <w:spacing w:after="130" w:line="262"/>
      </w:pPr>
      <w:r>
        <w:t xml:space="preserve">Backups are the organization's recovery path and, for that reason, a primary target. Attackers routinely delete shadow copies, change backup retention, encrypt backup repositories and log in to the backup console with stolen administrator credentials before deploying ransomware. This section is completed before any backup is used for recovery.</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262"/>
        <w:gridCol w:w="1754"/>
        <w:gridCol w:w="2146"/>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26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1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Suspend all backup and replication jobs so that encrypted data does not overwrite good restore points.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Job suspension record with time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Disconnect any backup repository that is still connected to the production network.</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Repository state per repository</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Review backup console sign-ins for the period from the earliest suspected compromise date. Record any sign-in not attributable to a named administrator.</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Console access log export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Review the backup configuration change history for deleted jobs, shortened retention, disabled immutability, removed copies and new administrator accounts.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Configuration change report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Reset backup administrator credentials from a clean workstation, and confirm MFA is required for console access. Where the backup system authenticates against the affected directory, switch to a local account held offline until the directory is trusted.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Backup owner, 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Reset record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Confirm which copies are offline, immutable or held by a separate provider with separate credentials, and the date of the last known good restore point for each critical system.</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Restore point register</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Test a restore of a sample of data from each candidate restore point into an isolated environment, scan it, and confirm it opens and is not encrypted.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Restore test record per restore point</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NOTHING IS RECONNECTED UNTIL THIS IS DONE</w:t>
            </w:r>
          </w:p>
          <w:p>
            <w:pPr>
              <w:spacing w:after="0" w:line="262"/>
            </w:pPr>
            <w:r>
              <w:t xml:space="preserve">No backup repository, backup server or backup console is reconnected to any network that has not been cleaned, and no restore point is used, until steps 1 to 7 are recorded as complete. An untested backup restored into a compromised network is the most common way a single ransomware incident becomes two.</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4" w:id="1"/>
      <w:r>
        <w:t xml:space="preserve">8.1  Choosing the restore point</w:t>
      </w:r>
      <w:bookmarkEnd w:id="1"/>
    </w:p>
    <w:p>
      <w:pPr>
        <w:spacing w:after="130" w:line="262"/>
      </w:pPr>
      <w:r>
        <w:t xml:space="preserve">The latest backup is not necessarily the right one. Attackers are often present for days or weeks before encryption, and a backup taken during that period contains their persistence. The restore point for each system is chosen by the IT operations lead with the incident response firm, using the earliest confirmed compromise date from scoping. Where a restore point after that date must be used to limit data loss, the restored system is treated as untrusted and goes through the full validation in Section 13.4 before reconnection, and the choice is recorded in the decision log.</w:t>
      </w:r>
    </w:p>
    <w:p>
      <w:pPr>
        <w:spacing w:after="60" w:line="120"/>
      </w:pPr>
      <w:r>
        <w:rPr>
          <w:sz w:val="4"/>
          <w:szCs w:val="4"/>
        </w:rPr>
        <w:t xml:space="preserve"/>
      </w:r>
    </w:p>
    <w:p>
      <w:pPr>
        <w:pStyle w:val="Heading1"/>
        <w:keepNext/>
        <w:keepLines/>
        <w:pBdr>
          <w:bottom w:val="single" w:color="D4DAE0" w:sz="4" w:space="4"/>
        </w:pBdr>
        <w:spacing w:after="140" w:before="300"/>
      </w:pPr>
      <w:bookmarkStart w:name="_RG0025" w:id="1"/>
      <w:r>
        <w:t xml:space="preserve">9.  Scoping the incident</w:t>
      </w:r>
      <w:bookmarkEnd w:id="1"/>
    </w:p>
    <w:p>
      <w:pPr>
        <w:spacing w:after="130" w:line="262"/>
      </w:pPr>
      <w:r>
        <w:t xml:space="preserve">Scoping answers four questions, in order of urgency: how did the attacker get in, what did they touch, what did they take, and are they still present. Scoping is led by the incident response firm where one is engaged. The incident lead owns the scoping record and updates it at least every 12 hours during the first three days.</w:t>
      </w:r>
    </w:p>
    <w:p>
      <w:pPr>
        <w:spacing w:after="60" w:line="120"/>
      </w:pPr>
      <w:r>
        <w:rPr>
          <w:sz w:val="4"/>
          <w:szCs w:val="4"/>
        </w:rPr>
        <w:t xml:space="preserve"/>
      </w:r>
    </w:p>
    <w:p>
      <w:pPr>
        <w:pStyle w:val="Heading2"/>
        <w:keepNext/>
        <w:keepLines/>
        <w:spacing w:after="90" w:before="220"/>
      </w:pPr>
      <w:bookmarkStart w:name="_RG0026" w:id="1"/>
      <w:r>
        <w:t xml:space="preserve">9.1  Patient zero and entry point</w:t>
      </w:r>
      <w:bookmarkEnd w:id="1"/>
    </w:p>
    <w:p>
      <w:pPr>
        <w:spacing w:after="130" w:line="262"/>
      </w:pPr>
      <w:r>
        <w:t xml:space="preserve">The entry point is the system or account through which the attacker first gained access. Common entry points include exposed remote desktop, VPN accounts without MFA, unpatched public-facing applications, phishing, and access through a supplier. The team establishes:</w:t>
      </w:r>
    </w:p>
    <w:p>
      <w:pPr>
        <w:pStyle w:val="ListParagraph"/>
        <w:numPr>
          <w:ilvl w:val="0"/>
          <w:numId w:val="2"/>
        </w:numPr>
        <w:spacing w:after="60" w:line="262"/>
      </w:pPr>
      <w:r>
        <w:t xml:space="preserve">The earliest evidence of attacker activity, from sign-in logs, endpoint telemetry and firewall logs.</w:t>
      </w:r>
    </w:p>
    <w:p>
      <w:pPr>
        <w:pStyle w:val="ListParagraph"/>
        <w:numPr>
          <w:ilvl w:val="0"/>
          <w:numId w:val="2"/>
        </w:numPr>
        <w:spacing w:after="60" w:line="262"/>
      </w:pPr>
      <w:r>
        <w:t xml:space="preserve">The first system and account used, and how the attacker obtained the credential or exploited the system.</w:t>
      </w:r>
    </w:p>
    <w:p>
      <w:pPr>
        <w:pStyle w:val="ListParagraph"/>
        <w:numPr>
          <w:ilvl w:val="0"/>
          <w:numId w:val="2"/>
        </w:numPr>
        <w:spacing w:after="60" w:line="262"/>
      </w:pPr>
      <w:r>
        <w:t xml:space="preserve">Whether the entry point is closed, and how that is confirmed.</w:t>
      </w:r>
    </w:p>
    <w:p>
      <w:pPr>
        <w:pStyle w:val="ListParagraph"/>
        <w:numPr>
          <w:ilvl w:val="0"/>
          <w:numId w:val="2"/>
        </w:numPr>
        <w:spacing w:after="60" w:line="262"/>
      </w:pPr>
      <w:r>
        <w:t xml:space="preserve">Whether the attacker had access through more than one entry point.</w:t>
      </w:r>
    </w:p>
    <w:p>
      <w:pPr>
        <w:spacing w:after="130" w:line="262"/>
      </w:pPr>
      <w:r>
        <w:t xml:space="preserve">The earliest confirmed compromise date drives the restore point choice (Section 8.1), the window for account and configuration review (Section 7.1) and the scope of data that may have been taken.</w:t>
      </w:r>
    </w:p>
    <w:p>
      <w:pPr>
        <w:spacing w:after="60" w:line="120"/>
      </w:pPr>
      <w:r>
        <w:rPr>
          <w:sz w:val="4"/>
          <w:szCs w:val="4"/>
        </w:rPr>
        <w:t xml:space="preserve"/>
      </w:r>
    </w:p>
    <w:p>
      <w:pPr>
        <w:pStyle w:val="Heading2"/>
        <w:keepNext/>
        <w:keepLines/>
        <w:spacing w:after="90" w:before="220"/>
      </w:pPr>
      <w:bookmarkStart w:name="_RG0027" w:id="1"/>
      <w:r>
        <w:t xml:space="preserve">9.2  Data exfiltration indicators</w:t>
      </w:r>
      <w:bookmarkEnd w:id="1"/>
    </w:p>
    <w:p>
      <w:pPr>
        <w:spacing w:after="130" w:line="262"/>
      </w:pPr>
      <w:r>
        <w:t xml:space="preserve">Most ransomware operators steal data before encrypting it and threaten to publish it, so the incident is assumed to involve data theft until evidence shows otherwise. Absence of evidence is not evidence of absence where logs were not kept; the scoping record states which log sources existed and for what period. Indicators include:</w:t>
      </w:r>
    </w:p>
    <w:p>
      <w:pPr>
        <w:pStyle w:val="ListParagraph"/>
        <w:numPr>
          <w:ilvl w:val="0"/>
          <w:numId w:val="2"/>
        </w:numPr>
        <w:spacing w:after="60" w:line="262"/>
      </w:pPr>
      <w:r>
        <w:t xml:space="preserve">Outbound transfers of unusual volume in firewall, proxy or netflow records, particularly to cloud storage or file transfer services.</w:t>
      </w:r>
    </w:p>
    <w:p>
      <w:pPr>
        <w:pStyle w:val="ListParagraph"/>
        <w:numPr>
          <w:ilvl w:val="0"/>
          <w:numId w:val="2"/>
        </w:numPr>
        <w:spacing w:after="60" w:line="262"/>
      </w:pPr>
      <w:r>
        <w:t xml:space="preserve">Installation or execution of file synchronization or transfer tools not used by the organization.</w:t>
      </w:r>
    </w:p>
    <w:p>
      <w:pPr>
        <w:pStyle w:val="ListParagraph"/>
        <w:numPr>
          <w:ilvl w:val="0"/>
          <w:numId w:val="2"/>
        </w:numPr>
        <w:spacing w:after="60" w:line="262"/>
      </w:pPr>
      <w:r>
        <w:t xml:space="preserve">Archive files created in staging directories, often on a file server or a workstation with broad access.</w:t>
      </w:r>
    </w:p>
    <w:p>
      <w:pPr>
        <w:pStyle w:val="ListParagraph"/>
        <w:numPr>
          <w:ilvl w:val="0"/>
          <w:numId w:val="2"/>
        </w:numPr>
        <w:spacing w:after="60" w:line="262"/>
      </w:pPr>
      <w:r>
        <w:t xml:space="preserve">Access to file shares, databases or mailboxes by accounts that do not normally use them, especially in bulk.</w:t>
      </w:r>
    </w:p>
    <w:p>
      <w:pPr>
        <w:pStyle w:val="ListParagraph"/>
        <w:numPr>
          <w:ilvl w:val="0"/>
          <w:numId w:val="2"/>
        </w:numPr>
        <w:spacing w:after="60" w:line="262"/>
      </w:pPr>
      <w:r>
        <w:t xml:space="preserve">Claims in the ransom note or on a leak site, including sample files, file trees or screenshots.</w:t>
      </w:r>
    </w:p>
    <w:p>
      <w:pPr>
        <w:spacing w:after="130" w:line="262"/>
      </w:pPr>
      <w:r>
        <w:t xml:space="preserve">Where data theft is indicated, the scoping record lists the data categories believed affected (for example, personal data of customers, employee records, payment data, health information, confidential business data) and, where determinable, the individuals and jurisdictions involved. This list is passed to legal counsel for the notification analysis in Section 10.5.</w:t>
      </w:r>
    </w:p>
    <w:p>
      <w:pPr>
        <w:spacing w:after="60" w:line="120"/>
      </w:pPr>
      <w:r>
        <w:rPr>
          <w:sz w:val="4"/>
          <w:szCs w:val="4"/>
        </w:rPr>
        <w:t xml:space="preserve"/>
      </w:r>
    </w:p>
    <w:p>
      <w:pPr>
        <w:pStyle w:val="Heading2"/>
        <w:keepNext/>
        <w:keepLines/>
        <w:spacing w:after="90" w:before="220"/>
      </w:pPr>
      <w:bookmarkStart w:name="_RG0028" w:id="1"/>
      <w:r>
        <w:t xml:space="preserve">9.3  Extent of encryption and impact</w:t>
      </w:r>
      <w:bookmarkEnd w:id="1"/>
    </w:p>
    <w:p>
      <w:pPr>
        <w:spacing w:after="130" w:line="262"/>
      </w:pPr>
      <w:r>
        <w:t xml:space="preserve">The IT operations lead maintains a system impact register listing each system as encrypted, compromised but not encrypted, unaffected, or unknown. The register is checked against the critical asset list from PLN-IR-001 or the business impact analysis. Systems that appear unaffected are recorded so they can be deprioritized for investigation but are not trusted until scoping confirms the attacker had no access to them.</w:t>
      </w:r>
    </w:p>
    <w:p>
      <w:pPr>
        <w:spacing w:after="60" w:line="120"/>
      </w:pPr>
      <w:r>
        <w:rPr>
          <w:sz w:val="4"/>
          <w:szCs w:val="4"/>
        </w:rPr>
        <w:t xml:space="preserve"/>
      </w:r>
    </w:p>
    <w:p>
      <w:pPr>
        <w:pStyle w:val="Heading1"/>
        <w:keepNext/>
        <w:keepLines/>
        <w:pBdr>
          <w:bottom w:val="single" w:color="D4DAE0" w:sz="4" w:space="4"/>
        </w:pBdr>
        <w:spacing w:after="140" w:before="300"/>
      </w:pPr>
      <w:bookmarkStart w:name="_RG0029" w:id="1"/>
      <w:r>
        <w:t xml:space="preserve">10.  Notifications</w:t>
      </w:r>
      <w:bookmarkEnd w:id="1"/>
    </w:p>
    <w:p>
      <w:pPr>
        <w:spacing w:after="130" w:line="262"/>
      </w:pPr>
      <w:r>
        <w:t xml:space="preserve">Notification follows a sequence. The sequence matters because some parties must be told before others can be engaged, and because some commitments cannot be withdrawn once made. Every notification is recorded in the notification tracker in Appendix C with the time, the person notifying, the person notified, the reference number and the next deadline.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682"/>
        <w:gridCol w:w="2339"/>
        <w:gridCol w:w="1656"/>
        <w:gridCol w:w="1656"/>
        <w:gridCol w:w="3413"/>
      </w:tblGrid>
      <w:tr>
        <w:trPr>
          <w:cantSplit/>
          <w:tblHeader/>
        </w:trPr>
        <w:tc>
          <w:tcPr>
            <w:tcW w:type="dxa" w:w="68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Order</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Party</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When</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By whom</w:t>
            </w:r>
          </w:p>
        </w:tc>
        <w:tc>
          <w:tcPr>
            <w:tcW w:type="dxa" w:w="34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Why it comes here</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Cyber insurer, through the claims route in the policy</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Within the first hour</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Insurer liaison</w:t>
            </w:r>
          </w:p>
        </w:tc>
        <w:tc>
          <w:tcPr>
            <w:tcW w:type="dxa" w:w="3413"/>
            <w:shd w:fill="FFFFFF" w:color="auto" w:val="clear"/>
            <w:tcMar>
              <w:top w:type="dxa" w:w="70"/>
              <w:left w:type="dxa" w:w="100"/>
              <w:bottom w:type="dxa" w:w="70"/>
              <w:right w:type="dxa" w:w="100"/>
            </w:tcMar>
            <w:vAlign w:val="top"/>
          </w:tcPr>
          <w:p>
            <w:pPr>
              <w:spacing w:after="0" w:before="0" w:line="252"/>
            </w:pPr>
            <w:r>
              <w:rPr>
                <w:sz w:val="17"/>
                <w:szCs w:val="17"/>
              </w:rPr>
              <w:t xml:space="preserve">Policies commonly require notice within a set time and consent before responders are engaged, costs are incurred or any payment is made</w:t>
            </w:r>
          </w:p>
        </w:tc>
      </w:tr>
      <w:tr>
        <w:trPr>
          <w:cantSplit/>
        </w:trPr>
        <w:tc>
          <w:tcPr>
            <w:tcW w:type="dxa" w:w="682"/>
            <w:shd w:fill="F2F4F6"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Legal counsel, and a breach coach where the insurer provides one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Within the first hour</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Executive sponsor or insurer liaison</w:t>
            </w:r>
          </w:p>
        </w:tc>
        <w:tc>
          <w:tcPr>
            <w:tcW w:type="dxa" w:w="3413"/>
            <w:shd w:fill="F2F4F6" w:color="auto" w:val="clear"/>
            <w:tcMar>
              <w:top w:type="dxa" w:w="70"/>
              <w:left w:type="dxa" w:w="100"/>
              <w:bottom w:type="dxa" w:w="70"/>
              <w:right w:type="dxa" w:w="100"/>
            </w:tcMar>
            <w:vAlign w:val="top"/>
          </w:tcPr>
          <w:p>
            <w:pPr>
              <w:spacing w:after="0" w:before="0" w:line="252"/>
            </w:pPr>
            <w:r>
              <w:rPr>
                <w:sz w:val="17"/>
                <w:szCs w:val="17"/>
              </w:rPr>
              <w:t xml:space="preserve">Counsel directs the investigation so that findings may be privileged, and leads all notification analysis</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Incident response firm</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After insurer consent, within 4 hours</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3413"/>
            <w:shd w:fill="FFFFFF" w:color="auto" w:val="clear"/>
            <w:tcMar>
              <w:top w:type="dxa" w:w="70"/>
              <w:left w:type="dxa" w:w="100"/>
              <w:bottom w:type="dxa" w:w="70"/>
              <w:right w:type="dxa" w:w="100"/>
            </w:tcMar>
            <w:vAlign w:val="top"/>
          </w:tcPr>
          <w:p>
            <w:pPr>
              <w:spacing w:after="0" w:before="0" w:line="252"/>
            </w:pPr>
            <w:r>
              <w:rPr>
                <w:sz w:val="17"/>
                <w:szCs w:val="17"/>
              </w:rPr>
              <w:t xml:space="preserve">Using a firm not approved by the insurer may not be covered</w:t>
            </w:r>
          </w:p>
        </w:tc>
      </w:tr>
      <w:tr>
        <w:trPr>
          <w:cantSplit/>
        </w:trPr>
        <w:tc>
          <w:tcPr>
            <w:tcW w:type="dxa" w:w="682"/>
            <w:shd w:fill="F2F4F6"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Law enforcement</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Within 24 hours, earlier where counsel advises</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Incident lead, coordinated with counsel</w:t>
            </w:r>
          </w:p>
        </w:tc>
        <w:tc>
          <w:tcPr>
            <w:tcW w:type="dxa" w:w="3413"/>
            <w:shd w:fill="F2F4F6" w:color="auto" w:val="clear"/>
            <w:tcMar>
              <w:top w:type="dxa" w:w="70"/>
              <w:left w:type="dxa" w:w="100"/>
              <w:bottom w:type="dxa" w:w="70"/>
              <w:right w:type="dxa" w:w="100"/>
            </w:tcMar>
            <w:vAlign w:val="top"/>
          </w:tcPr>
          <w:p>
            <w:pPr>
              <w:spacing w:after="0" w:before="0" w:line="252"/>
            </w:pPr>
            <w:r>
              <w:rPr>
                <w:sz w:val="17"/>
                <w:szCs w:val="17"/>
              </w:rPr>
              <w:t xml:space="preserve">Law enforcement may hold decryption keys or intelligence on the variant and actor</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5</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CISA</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Within 24 hours, coordinated with the law enforcement report</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3413"/>
            <w:shd w:fill="FFFFFF" w:color="auto" w:val="clear"/>
            <w:tcMar>
              <w:top w:type="dxa" w:w="70"/>
              <w:left w:type="dxa" w:w="100"/>
              <w:bottom w:type="dxa" w:w="70"/>
              <w:right w:type="dxa" w:w="100"/>
            </w:tcMar>
            <w:vAlign w:val="top"/>
          </w:tcPr>
          <w:p>
            <w:pPr>
              <w:spacing w:after="0" w:before="0" w:line="252"/>
            </w:pPr>
            <w:r>
              <w:rPr>
                <w:sz w:val="17"/>
                <w:szCs w:val="17"/>
              </w:rPr>
              <w:t xml:space="preserve">Voluntary report that supports national response and may provide assistance</w:t>
            </w:r>
          </w:p>
        </w:tc>
      </w:tr>
      <w:tr>
        <w:trPr>
          <w:cantSplit/>
        </w:trPr>
        <w:tc>
          <w:tcPr>
            <w:tcW w:type="dxa" w:w="682"/>
            <w:shd w:fill="F2F4F6" w:color="auto" w:val="clear"/>
            <w:tcMar>
              <w:top w:type="dxa" w:w="70"/>
              <w:left w:type="dxa" w:w="100"/>
              <w:bottom w:type="dxa" w:w="70"/>
              <w:right w:type="dxa" w:w="100"/>
            </w:tcMar>
            <w:vAlign w:val="top"/>
          </w:tcPr>
          <w:p>
            <w:pPr>
              <w:spacing w:after="0" w:before="0" w:line="252"/>
            </w:pPr>
            <w:r>
              <w:rPr>
                <w:sz w:val="17"/>
                <w:szCs w:val="17"/>
              </w:rPr>
              <w:t xml:space="preserve">6</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Regulators, affected individuals, customers under contract, card brands and other mandatory recipients</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As determined by counsel against each deadline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Legal counsel</w:t>
            </w:r>
          </w:p>
        </w:tc>
        <w:tc>
          <w:tcPr>
            <w:tcW w:type="dxa" w:w="3413"/>
            <w:shd w:fill="F2F4F6" w:color="auto" w:val="clear"/>
            <w:tcMar>
              <w:top w:type="dxa" w:w="70"/>
              <w:left w:type="dxa" w:w="100"/>
              <w:bottom w:type="dxa" w:w="70"/>
              <w:right w:type="dxa" w:w="100"/>
            </w:tcMar>
            <w:vAlign w:val="top"/>
          </w:tcPr>
          <w:p>
            <w:pPr>
              <w:spacing w:after="0" w:before="0" w:line="252"/>
            </w:pPr>
            <w:r>
              <w:rPr>
                <w:sz w:val="17"/>
                <w:szCs w:val="17"/>
              </w:rPr>
              <w:t xml:space="preserve">Statutory and contractual deadlines, which vary by jurisdiction and sector</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7</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Key suppliers and partners with connected systems</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Once containment is in place, coordinated with counsel</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3413"/>
            <w:shd w:fill="FFFFFF" w:color="auto" w:val="clear"/>
            <w:tcMar>
              <w:top w:type="dxa" w:w="70"/>
              <w:left w:type="dxa" w:w="100"/>
              <w:bottom w:type="dxa" w:w="70"/>
              <w:right w:type="dxa" w:w="100"/>
            </w:tcMar>
            <w:vAlign w:val="top"/>
          </w:tcPr>
          <w:p>
            <w:pPr>
              <w:spacing w:after="0" w:before="0" w:line="252"/>
            </w:pPr>
            <w:r>
              <w:rPr>
                <w:sz w:val="17"/>
                <w:szCs w:val="17"/>
              </w:rPr>
              <w:t xml:space="preserve">Connected parties may need to cut connections to protect themselves</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0" w:id="1"/>
      <w:r>
        <w:t xml:space="preserve">10.1  The insurer and the breach coach</w:t>
      </w:r>
      <w:bookmarkEnd w:id="1"/>
    </w:p>
    <w:p>
      <w:pPr>
        <w:spacing w:after="130" w:line="262"/>
      </w:pPr>
      <w:r>
        <w:t xml:space="preserve">The insurer is notified first because the policy terms determine who may be engaged and on what terms. Before an incident, the insurer liaison records from the policy (Appendix H): the notification deadline, the claims hotline, whether a panel of approved responders and counsel must be used, whether consent is required before engaging a responder, incurring costs or making any payment, and whether ransom payments and associated costs are covered at all. During an incident, the insurer liaison confirms each of these by telephone and records the name of the claims handler and the claim reference.</w:t>
      </w:r>
    </w:p>
    <w:p>
      <w:pPr>
        <w:spacing w:after="130" w:line="262"/>
      </w:pPr>
      <w:r>
        <w:t xml:space="preserve">Where the insurer appoints a breach coach, typically a law firm experienced in data incidents, the breach coach usually engages the incident response firm through counsel. The incident lead does not sign an engagement letter with a responder directly unless counsel and the insurer have agreed to it.</w:t>
      </w:r>
    </w:p>
    <w:p>
      <w:pPr>
        <w:spacing w:after="60" w:line="120"/>
      </w:pPr>
      <w:r>
        <w:rPr>
          <w:sz w:val="4"/>
          <w:szCs w:val="4"/>
        </w:rPr>
        <w:t xml:space="preserve"/>
      </w:r>
    </w:p>
    <w:p>
      <w:pPr>
        <w:pStyle w:val="Heading2"/>
        <w:keepNext/>
        <w:keepLines/>
        <w:spacing w:after="90" w:before="220"/>
      </w:pPr>
      <w:bookmarkStart w:name="_RG0031" w:id="1"/>
      <w:r>
        <w:t xml:space="preserve">10.2  Legal counsel</w:t>
      </w:r>
      <w:bookmarkEnd w:id="1"/>
    </w:p>
    <w:p>
      <w:pPr>
        <w:spacing w:after="130" w:line="262"/>
      </w:pPr>
      <w:r>
        <w:t xml:space="preserve">Legal counsel is notified within the first hour. Counsel advises on structuring the investigation to preserve legal privilege where available, on what may be put in writing, on contractual notice obligations to customers and partners, and on statutory notification. Written analysis of cause and impact is addressed to counsel where counsel so directs. Staff do not create informal written commentary on cause or fault outside the incident log.</w:t>
      </w:r>
    </w:p>
    <w:p>
      <w:pPr>
        <w:spacing w:after="60" w:line="120"/>
      </w:pPr>
      <w:r>
        <w:rPr>
          <w:sz w:val="4"/>
          <w:szCs w:val="4"/>
        </w:rPr>
        <w:t xml:space="preserve"/>
      </w:r>
    </w:p>
    <w:p>
      <w:pPr>
        <w:pStyle w:val="Heading2"/>
        <w:keepNext/>
        <w:keepLines/>
        <w:spacing w:after="90" w:before="220"/>
      </w:pPr>
      <w:bookmarkStart w:name="_RG0032" w:id="1"/>
      <w:r>
        <w:t xml:space="preserve">10.3  Law enforcement</w:t>
      </w:r>
      <w:bookmarkEnd w:id="1"/>
    </w:p>
    <w:p>
      <w:pPr>
        <w:spacing w:after="130" w:line="262"/>
      </w:pPr>
      <w:r>
        <w:t xml:space="preserve">In the United States, the organization reports a ransomware incident to its local FBI field office and through the FBI's Internet Crime Complaint Center at ic3.gov. The FBI does not support paying a ransom, and reporting does not oblige the organization to take any particular course. Law enforcement is asked whether a decryptor is available for the variant, since researchers and investigators sometimes find flaws that allow recovery without payment. The incident lead records the field office contacted, the agent's name, the IC3 complaint reference and any guidance received.</w:t>
      </w:r>
    </w:p>
    <w:p>
      <w:pPr>
        <w:spacing w:after="130" w:line="262"/>
      </w:pPr>
      <w:r>
        <w:t xml:space="preserve">The organization may alternatively or additionally report to its local U.S. Secret Service field office, which is one of the reporting routes listed in the #StopRansomware Guide.</w:t>
      </w:r>
    </w:p>
    <w:p>
      <w:pPr>
        <w:spacing w:after="60" w:line="120"/>
      </w:pPr>
      <w:r>
        <w:rPr>
          <w:sz w:val="4"/>
          <w:szCs w:val="4"/>
        </w:rPr>
        <w:t xml:space="preserve"/>
      </w:r>
    </w:p>
    <w:p>
      <w:pPr>
        <w:pStyle w:val="Heading2"/>
        <w:keepNext/>
        <w:keepLines/>
        <w:spacing w:after="90" w:before="220"/>
      </w:pPr>
      <w:bookmarkStart w:name="_RG0033" w:id="1"/>
      <w:r>
        <w:t xml:space="preserve">10.4  CISA and CIRCIA</w:t>
      </w:r>
      <w:bookmarkEnd w:id="1"/>
    </w:p>
    <w:p>
      <w:pPr>
        <w:spacing w:after="130" w:line="262"/>
      </w:pPr>
      <w:r>
        <w:t xml:space="preserve">The organization reports the incident to CISA through the incident reporting form on cisa.gov or by telephone on (888) 282-0870, which is staffed at all times. The report and the law enforcement report are coordinated so the information given to each is consistent.</w:t>
      </w:r>
    </w:p>
    <w:p>
      <w:pPr>
        <w:spacing w:after="130" w:line="262"/>
      </w:pPr>
      <w:r>
        <w:t xml:space="preserve">The Cyber Incident Reporting for Critical Infrastructure Act of 2022 (CIRCIA) will require covered entities in critical infrastructure sectors to report covered cyber incidents and ransom payments to CISA once CISA's final rule takes effect. At the date of this document the final rule had not taken effect and reporting under CIRCIA was voluntary. Before each annual review of this playbook, and at the start of any incident, legal counsel confirms whether the final rule is in force and whether the organization is a covered entity. If it is, the CIRCIA deadlines are entered in the notification tracker as statutory deadlines.</w:t>
      </w:r>
    </w:p>
    <w:p>
      <w:pPr>
        <w:spacing w:after="60" w:line="120"/>
      </w:pPr>
      <w:r>
        <w:rPr>
          <w:sz w:val="4"/>
          <w:szCs w:val="4"/>
        </w:rPr>
        <w:t xml:space="preserve"/>
      </w:r>
    </w:p>
    <w:p>
      <w:pPr>
        <w:pStyle w:val="Heading2"/>
        <w:keepNext/>
        <w:keepLines/>
        <w:spacing w:after="90" w:before="220"/>
      </w:pPr>
      <w:bookmarkStart w:name="_RG0034" w:id="1"/>
      <w:r>
        <w:t xml:space="preserve">10.5  Regulators and breach notification</w:t>
      </w:r>
      <w:bookmarkEnd w:id="1"/>
    </w:p>
    <w:p>
      <w:pPr>
        <w:spacing w:after="130" w:line="262"/>
      </w:pPr>
      <w:r>
        <w:t xml:space="preserve">Data breach notification obligations arise from state data breach laws, sector regulation (for example, in health care, financial services and public companies), contracts with customers, and the laws of other countries where affected individuals reside. Deadlines differ and some run from the date the organization discovers or reasonably should have discovered the breach. These obligations are analyzed and discharged by legal counsel. The incident lead's duties are to give counsel the scoping record and the data categories list as soon as they exist, to enter every deadline counsel identifies into the notification tracker, and to confirm in the tracker when each notification was made.</w:t>
      </w:r>
    </w:p>
    <w:p>
      <w:pPr>
        <w:spacing w:after="130" w:line="262"/>
      </w:pPr>
      <w:r>
        <w:t xml:space="preserve">Encryption of personal data by an attacker, without any evidence of copying, can still be a notifiable event in some jurisdictions. The decision whether an obligation exists is counsel's, not the technical team's.</w:t>
      </w:r>
    </w:p>
    <w:p>
      <w:pPr>
        <w:spacing w:after="60" w:line="120"/>
      </w:pPr>
      <w:r>
        <w:rPr>
          <w:sz w:val="4"/>
          <w:szCs w:val="4"/>
        </w:rPr>
        <w:t xml:space="preserve"/>
      </w:r>
    </w:p>
    <w:p>
      <w:pPr>
        <w:pStyle w:val="Heading1"/>
        <w:keepNext/>
        <w:keepLines/>
        <w:pBdr>
          <w:bottom w:val="single" w:color="D4DAE0" w:sz="4" w:space="4"/>
        </w:pBdr>
        <w:spacing w:after="140" w:before="300"/>
      </w:pPr>
      <w:bookmarkStart w:name="_RG0035" w:id="1"/>
      <w:r>
        <w:t xml:space="preserve">11.  The ransom decision framework</w:t>
      </w:r>
      <w:bookmarkEnd w:id="1"/>
    </w:p>
    <w:p>
      <w:pPr>
        <w:spacing w:after="130" w:line="262"/>
      </w:pPr>
      <w:r>
        <w:t xml:space="preserve">The decision whether to pay is a business, legal and ethical decision, made deliberately by a defined authority after defined consultations. It is never made by the technical team and never made by default because recovery is slow. The organization's starting position is that it does not pay. That position may be departed from only through the process below, and the full record is kept in Appendix D.</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WHAT PAYMENT DOES NOT BUY</w:t>
            </w:r>
          </w:p>
          <w:p>
            <w:pPr>
              <w:spacing w:after="0" w:line="262"/>
            </w:pPr>
            <w:r>
              <w:t xml:space="preserve">Payment does not guarantee a working decryptor, does not guarantee that stolen data is deleted, and does not guarantee the organization will not be extorted again by the same or another group. Decryptors supplied by attackers are frequently slow, partial or faulty, and restoring from backup is often faster even when a key is obtained. The FBI does not support paying a ransom and states that payment does not guarantee any data will be returned.</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6" w:id="1"/>
      <w:r>
        <w:t xml:space="preserve">11.1  Who decides</w:t>
      </w:r>
      <w:bookmarkEnd w:id="1"/>
    </w:p>
    <w:p>
      <w:pPr>
        <w:spacing w:after="130" w:line="262"/>
      </w:pPr>
      <w:r>
        <w:t xml:space="preserve">The executive decision authority for ransom is the chief executive, or the person named in PLN-IR-001 as executive sponsor where that is a different role, acting with the board or governing body where the organization's governance requires it. The decision is not delegated below that level. Before deciding, the executive decision authority receives and records advice from each of the following:</w:t>
      </w:r>
    </w:p>
    <w:p>
      <w:pPr>
        <w:pStyle w:val="ListParagraph"/>
        <w:numPr>
          <w:ilvl w:val="0"/>
          <w:numId w:val="2"/>
        </w:numPr>
        <w:spacing w:after="60" w:line="262"/>
      </w:pPr>
      <w:r>
        <w:t xml:space="preserve">Legal counsel, on sanctions exposure, legality and notification consequences.</w:t>
      </w:r>
    </w:p>
    <w:p>
      <w:pPr>
        <w:pStyle w:val="ListParagraph"/>
        <w:numPr>
          <w:ilvl w:val="0"/>
          <w:numId w:val="2"/>
        </w:numPr>
        <w:spacing w:after="60" w:line="262"/>
      </w:pPr>
      <w:r>
        <w:t xml:space="preserve">The cyber insurer, on coverage and consent.</w:t>
      </w:r>
    </w:p>
    <w:p>
      <w:pPr>
        <w:pStyle w:val="ListParagraph"/>
        <w:numPr>
          <w:ilvl w:val="0"/>
          <w:numId w:val="2"/>
        </w:numPr>
        <w:spacing w:after="60" w:line="262"/>
      </w:pPr>
      <w:r>
        <w:t xml:space="preserve">The incident response firm, on recovery feasibility without payment, the actor's known behavior and the likelihood of a working decryptor.</w:t>
      </w:r>
    </w:p>
    <w:p>
      <w:pPr>
        <w:pStyle w:val="ListParagraph"/>
        <w:numPr>
          <w:ilvl w:val="0"/>
          <w:numId w:val="2"/>
        </w:numPr>
        <w:spacing w:after="60" w:line="262"/>
      </w:pPr>
      <w:r>
        <w:t xml:space="preserve">Law enforcement, on whether a decryptor exists and anything known about the actor.</w:t>
      </w:r>
    </w:p>
    <w:p>
      <w:pPr>
        <w:pStyle w:val="ListParagraph"/>
        <w:numPr>
          <w:ilvl w:val="0"/>
          <w:numId w:val="2"/>
        </w:numPr>
        <w:spacing w:after="60" w:line="262"/>
      </w:pPr>
      <w:r>
        <w:t xml:space="preserve">The IT operations lead, on the recovery time from backups and the business impact of that time.</w:t>
      </w:r>
    </w:p>
    <w:p>
      <w:pPr>
        <w:pStyle w:val="ListParagraph"/>
        <w:numPr>
          <w:ilvl w:val="0"/>
          <w:numId w:val="2"/>
        </w:numPr>
        <w:spacing w:after="60" w:line="262"/>
      </w:pPr>
      <w:r>
        <w:t xml:space="preserve">The finance lead, on the means and timing of any payment.</w:t>
      </w:r>
    </w:p>
    <w:p>
      <w:pPr>
        <w:spacing w:after="60" w:line="120"/>
      </w:pPr>
      <w:r>
        <w:rPr>
          <w:sz w:val="4"/>
          <w:szCs w:val="4"/>
        </w:rPr>
        <w:t xml:space="preserve"/>
      </w:r>
    </w:p>
    <w:p>
      <w:pPr>
        <w:pStyle w:val="Heading2"/>
        <w:keepNext/>
        <w:keepLines/>
        <w:spacing w:after="90" w:before="220"/>
      </w:pPr>
      <w:bookmarkStart w:name="_RG0037" w:id="1"/>
      <w:r>
        <w:t xml:space="preserve">11.2  Sanctions risk</w:t>
      </w:r>
      <w:bookmarkEnd w:id="1"/>
    </w:p>
    <w:p>
      <w:pPr>
        <w:spacing w:after="130" w:line="262"/>
      </w:pPr>
      <w:r>
        <w:t xml:space="preserve">The U.S. Department of the Treasury's Office of Foreign Assets Control (OFAC) issued an Updated Advisory on Potential Sanctions Risks for Facilitating Ransomware Payments on 21 September 2021. The advisory states that the U.S. government strongly discourages all private companies and citizens from paying ransom or extortion demands; that a payment to a sanctioned person or embargoed jurisdiction may violate OFAC regulations; that civil penalties may be imposed on a strict liability basis, meaning a party may be liable even if it did not know the recipient was sanctioned; and that this exposure extends to those who facilitate payments, including insurers, financial institutions and incident response firms. OFAC reviews license applications for such payments case by case with a presumption of denial.</w:t>
      </w:r>
    </w:p>
    <w:p>
      <w:pPr>
        <w:spacing w:after="130" w:line="262"/>
      </w:pPr>
      <w:r>
        <w:t xml:space="preserve">The advisory also states that OFAC will consider as significant mitigating factors the existence of meaningful steps taken to reduce the risk of extortion, such as maintaining offline backups and an incident response plan, and a full and timely report to law enforcement or CISA together with ongoing cooperation. Accordingly, no payment is considered unless the law enforcement and CISA reports in Section 10 have been made, and legal counsel has completed and recorded a sanctions screening of the actor, its known affiliations and the payment route.</w:t>
      </w:r>
    </w:p>
    <w:p>
      <w:pPr>
        <w:spacing w:after="60" w:line="120"/>
      </w:pPr>
      <w:r>
        <w:rPr>
          <w:sz w:val="4"/>
          <w:szCs w:val="4"/>
        </w:rPr>
        <w:t xml:space="preserve"/>
      </w:r>
    </w:p>
    <w:p>
      <w:pPr>
        <w:pStyle w:val="Heading2"/>
        <w:keepNext/>
        <w:keepLines/>
        <w:spacing w:after="90" w:before="220"/>
      </w:pPr>
      <w:bookmarkStart w:name="_RG0038" w:id="1"/>
      <w:r>
        <w:t xml:space="preserve">11.3  Decision criteria</w:t>
      </w:r>
      <w:bookmarkEnd w:id="1"/>
    </w:p>
    <w:p>
      <w:pPr>
        <w:spacing w:after="130" w:line="262"/>
      </w:pPr>
      <w:r>
        <w:t xml:space="preserve">The executive decision authority considers and records an answer to each question below in Appendix D:</w:t>
      </w:r>
    </w:p>
    <w:p>
      <w:pPr>
        <w:pStyle w:val="ListParagraph"/>
        <w:numPr>
          <w:ilvl w:val="0"/>
          <w:numId w:val="3"/>
        </w:numPr>
        <w:spacing w:after="60" w:line="262"/>
      </w:pPr>
      <w:r>
        <w:t xml:space="preserve">Can critical operations be restored from backup, and in what time? What is the cost, in revenue, safety, contractual penalty and harm to people, of that time?</w:t>
      </w:r>
    </w:p>
    <w:p>
      <w:pPr>
        <w:pStyle w:val="ListParagraph"/>
        <w:numPr>
          <w:ilvl w:val="0"/>
          <w:numId w:val="3"/>
        </w:numPr>
        <w:spacing w:after="60" w:line="262"/>
      </w:pPr>
      <w:r>
        <w:t xml:space="preserve">Is there a credible risk to life or safety, for example in health care or physical operations, that payment would reduce?</w:t>
      </w:r>
    </w:p>
    <w:p>
      <w:pPr>
        <w:pStyle w:val="ListParagraph"/>
        <w:numPr>
          <w:ilvl w:val="0"/>
          <w:numId w:val="3"/>
        </w:numPr>
        <w:spacing w:after="60" w:line="262"/>
      </w:pPr>
      <w:r>
        <w:t xml:space="preserve">Has counsel advised that payment is lawful, including on sanctions? Is the actor or the route linked to a sanctioned person or jurisdiction?</w:t>
      </w:r>
    </w:p>
    <w:p>
      <w:pPr>
        <w:pStyle w:val="ListParagraph"/>
        <w:numPr>
          <w:ilvl w:val="0"/>
          <w:numId w:val="3"/>
        </w:numPr>
        <w:spacing w:after="60" w:line="262"/>
      </w:pPr>
      <w:r>
        <w:t xml:space="preserve">Has the insurer consented, and is the payment covered?</w:t>
      </w:r>
    </w:p>
    <w:p>
      <w:pPr>
        <w:pStyle w:val="ListParagraph"/>
        <w:numPr>
          <w:ilvl w:val="0"/>
          <w:numId w:val="3"/>
        </w:numPr>
        <w:spacing w:after="60" w:line="262"/>
      </w:pPr>
      <w:r>
        <w:t xml:space="preserve">What does the incident response firm report about this actor's history of providing working decryptors and honoring deletion claims?</w:t>
      </w:r>
    </w:p>
    <w:p>
      <w:pPr>
        <w:pStyle w:val="ListParagraph"/>
        <w:numPr>
          <w:ilvl w:val="0"/>
          <w:numId w:val="3"/>
        </w:numPr>
        <w:spacing w:after="60" w:line="262"/>
      </w:pPr>
      <w:r>
        <w:t xml:space="preserve">Would payment change any notification obligation? (Counsel's usual position is that it does not, because the data was still accessed.)</w:t>
      </w:r>
    </w:p>
    <w:p>
      <w:pPr>
        <w:pStyle w:val="ListParagraph"/>
        <w:numPr>
          <w:ilvl w:val="0"/>
          <w:numId w:val="3"/>
        </w:numPr>
        <w:spacing w:after="60" w:line="262"/>
      </w:pPr>
      <w:r>
        <w:t xml:space="preserve">What precedent does payment set, and how would it be explained to staff, customers, regulators and the public?</w:t>
      </w:r>
    </w:p>
    <w:p>
      <w:pPr>
        <w:spacing w:after="130" w:line="262"/>
      </w:pPr>
      <w:r>
        <w:t xml:space="preserve">If the decision is not to pay, it is recorded with the reasons and the actor is not contacted unless counsel advises that limited contact is needed, for example to verify claims of data theft. If the decision is to pay, all contact with the actor and the payment itself are carried out by a specialist engaged through counsel and the insurer, never by staff, and the payment is reported as counsel directs, including under CIRCIA if it applies.</w:t>
      </w:r>
    </w:p>
    <w:p>
      <w:pPr>
        <w:spacing w:after="60" w:line="120"/>
      </w:pPr>
      <w:r>
        <w:rPr>
          <w:sz w:val="4"/>
          <w:szCs w:val="4"/>
        </w:rPr>
        <w:t xml:space="preserve"/>
      </w:r>
    </w:p>
    <w:p>
      <w:pPr>
        <w:pStyle w:val="Heading1"/>
        <w:keepNext/>
        <w:keepLines/>
        <w:pBdr>
          <w:bottom w:val="single" w:color="D4DAE0" w:sz="4" w:space="4"/>
        </w:pBdr>
        <w:spacing w:after="140" w:before="300"/>
      </w:pPr>
      <w:bookmarkStart w:name="_RG0039" w:id="1"/>
      <w:r>
        <w:t xml:space="preserve">12.  Eradication</w:t>
      </w:r>
      <w:bookmarkEnd w:id="1"/>
    </w:p>
    <w:p>
      <w:pPr>
        <w:spacing w:after="130" w:line="262"/>
      </w:pPr>
      <w:r>
        <w:t xml:space="preserve">Eradication removes the attacker's access and tooling. It starts only when scoping has identified the entry point and the known persistence, so that the attacker is removed in one coordinated action rather than piecemeal, which would give warning and time to re-establish access.</w:t>
      </w:r>
    </w:p>
    <w:p>
      <w:pPr>
        <w:spacing w:after="60" w:line="120"/>
      </w:pPr>
      <w:r>
        <w:rPr>
          <w:sz w:val="4"/>
          <w:szCs w:val="4"/>
        </w:rPr>
        <w:t xml:space="preserve"/>
      </w:r>
    </w:p>
    <w:p>
      <w:pPr>
        <w:pStyle w:val="Heading2"/>
        <w:keepNext/>
        <w:keepLines/>
        <w:spacing w:after="90" w:before="220"/>
      </w:pPr>
      <w:bookmarkStart w:name="_RG0040" w:id="1"/>
      <w:r>
        <w:t xml:space="preserve">12.1  Eradication actions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262"/>
        <w:gridCol w:w="1754"/>
        <w:gridCol w:w="2146"/>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26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1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Agree a coordinated eradication window with the incident response firm.</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Decision log entry</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Close the confirmed entry point: patch, reconfigure or decommission the exposed service; enforce MFA on the affected access path.</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Change record and verification</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Remove all recorded persistence mechanisms in the agreed window.</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 under responder direction</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Persistence removal list, item by item</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Complete the second KRBTGT reset and any further credential resets the responders direct.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Reset record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Reset all user passwords and require MFA re-registration for any account suspected of compromise.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Reset completion report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Rotate secrets held in applications, scripts and configuration files that the attacker could have read, including API keys, database credentials and customer-managed encryption keys.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Secret rotation register</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Rebuild compromised systems as set out in Section 13.2 rather than cleaning them in place.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146"/>
            <w:shd w:fill="FFFFFF" w:color="auto" w:val="clear"/>
            <w:tcMar>
              <w:top w:type="dxa" w:w="70"/>
              <w:left w:type="dxa" w:w="100"/>
              <w:bottom w:type="dxa" w:w="70"/>
              <w:right w:type="dxa" w:w="100"/>
            </w:tcMar>
            <w:vAlign w:val="top"/>
          </w:tcPr>
          <w:p>
            <w:pPr>
              <w:spacing w:after="0" w:before="0" w:line="252"/>
            </w:pPr>
            <w:r>
              <w:rPr>
                <w:sz w:val="17"/>
                <w:szCs w:val="17"/>
              </w:rPr>
              <w:t xml:space="preserve">Appendix 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Confirm endpoint protection is installed, running and reporting on every system in scope, with tamper protection enabled.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2146"/>
            <w:shd w:fill="F2F4F6" w:color="auto" w:val="clear"/>
            <w:tcMar>
              <w:top w:type="dxa" w:w="70"/>
              <w:left w:type="dxa" w:w="100"/>
              <w:bottom w:type="dxa" w:w="70"/>
              <w:right w:type="dxa" w:w="100"/>
            </w:tcMar>
            <w:vAlign w:val="top"/>
          </w:tcPr>
          <w:p>
            <w:pPr>
              <w:spacing w:after="0" w:before="0" w:line="252"/>
            </w:pPr>
            <w:r>
              <w:rPr>
                <w:sz w:val="17"/>
                <w:szCs w:val="17"/>
              </w:rPr>
              <w:t xml:space="preserve">Coverage report against the asset inventory</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41" w:id="1"/>
      <w:r>
        <w:t xml:space="preserve">12.2  Heightened monitoring</w:t>
      </w:r>
      <w:bookmarkEnd w:id="1"/>
    </w:p>
    <w:p>
      <w:pPr>
        <w:spacing w:after="130" w:line="262"/>
      </w:pPr>
      <w:r>
        <w:t xml:space="preserve">From eradication until at least 30 days after closure, the organization or its security provider monitors for the indicators recorded during scoping, for sign-ins from disabled accounts, for new privileged accounts, and for outbound connections to known attacker infrastructure. Alerts during this period are treated as potential reinfection and escalated to the incident lead.</w:t>
      </w:r>
    </w:p>
    <w:p>
      <w:pPr>
        <w:spacing w:after="60" w:line="120"/>
      </w:pPr>
      <w:r>
        <w:rPr>
          <w:sz w:val="4"/>
          <w:szCs w:val="4"/>
        </w:rPr>
        <w:t xml:space="preserve"/>
      </w:r>
    </w:p>
    <w:p>
      <w:pPr>
        <w:pStyle w:val="Heading2"/>
        <w:keepNext/>
        <w:keepLines/>
        <w:spacing w:after="90" w:before="220"/>
      </w:pPr>
      <w:bookmarkStart w:name="_RG0042" w:id="1"/>
      <w:r>
        <w:t xml:space="preserve">12.3  Closure criteria</w:t>
      </w:r>
      <w:bookmarkEnd w:id="1"/>
    </w:p>
    <w:p>
      <w:pPr>
        <w:spacing w:after="130" w:line="262"/>
      </w:pPr>
      <w:r>
        <w:t xml:space="preserve">The incident lead declares the incident closed only when all of the following are recorded as true: the entry point is closed; all known persistence is removed; all privileged credentials and the KRBTGT account have been reset after the last evidence of attacker activity; no attacker activity has been observed for at least 14 days; all critical systems are restored and validated; every notification deadline in Appendix C is met or formally extended; and the after-action review is scheduled. Closure is recorded in the incident log under PLN-IR-001.</w:t>
      </w:r>
    </w:p>
    <w:p>
      <w:pPr>
        <w:spacing w:after="60" w:line="120"/>
      </w:pPr>
      <w:r>
        <w:rPr>
          <w:sz w:val="4"/>
          <w:szCs w:val="4"/>
        </w:rPr>
        <w:t xml:space="preserve"/>
      </w:r>
    </w:p>
    <w:p>
      <w:pPr>
        <w:pStyle w:val="Heading1"/>
        <w:keepNext/>
        <w:keepLines/>
        <w:pBdr>
          <w:bottom w:val="single" w:color="D4DAE0" w:sz="4" w:space="4"/>
        </w:pBdr>
        <w:spacing w:after="140" w:before="300"/>
      </w:pPr>
      <w:bookmarkStart w:name="_RG0043" w:id="1"/>
      <w:r>
        <w:t xml:space="preserve">13.  Recovery</w:t>
      </w:r>
      <w:bookmarkEnd w:id="1"/>
    </w:p>
    <w:p>
      <w:pPr>
        <w:spacing w:after="130" w:line="262"/>
      </w:pPr>
      <w:r>
        <w:t xml:space="preserve">Recovery restores services in the order their dependencies require, into an environment known to be clean, and reconnects nothing until it has been validated. Speed matters, but restoring in the wrong order produces systems that cannot authenticate, cannot resolve names or cannot reach their data, and restoring into a dirty environment reinfects them.</w:t>
      </w:r>
    </w:p>
    <w:p>
      <w:pPr>
        <w:spacing w:after="60" w:line="120"/>
      </w:pPr>
      <w:r>
        <w:rPr>
          <w:sz w:val="4"/>
          <w:szCs w:val="4"/>
        </w:rPr>
        <w:t xml:space="preserve"/>
      </w:r>
    </w:p>
    <w:p>
      <w:pPr>
        <w:pStyle w:val="Heading2"/>
        <w:keepNext/>
        <w:keepLines/>
        <w:spacing w:after="90" w:before="220"/>
      </w:pPr>
      <w:bookmarkStart w:name="_RG0044" w:id="1"/>
      <w:r>
        <w:t xml:space="preserve">13.1  Recovery order by dependency</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682"/>
        <w:gridCol w:w="2144"/>
        <w:gridCol w:w="3995"/>
        <w:gridCol w:w="2925"/>
      </w:tblGrid>
      <w:tr>
        <w:trPr>
          <w:cantSplit/>
          <w:tblHeader/>
        </w:trPr>
        <w:tc>
          <w:tcPr>
            <w:tcW w:type="dxa" w:w="68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Tier</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w:t>
            </w:r>
          </w:p>
        </w:tc>
        <w:tc>
          <w:tcPr>
            <w:tcW w:type="dxa" w:w="399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Typical contents</w:t>
            </w:r>
          </w:p>
        </w:tc>
        <w:tc>
          <w:tcPr>
            <w:tcW w:type="dxa" w:w="292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Gate to the next tier</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0</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Clean recovery environment</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Isolated network segment, clean administrative workstations, out-of-band management</w:t>
            </w:r>
          </w:p>
        </w:tc>
        <w:tc>
          <w:tcPr>
            <w:tcW w:type="dxa" w:w="2925"/>
            <w:shd w:fill="FFFFFF" w:color="auto" w:val="clear"/>
            <w:tcMar>
              <w:top w:type="dxa" w:w="70"/>
              <w:left w:type="dxa" w:w="100"/>
              <w:bottom w:type="dxa" w:w="70"/>
              <w:right w:type="dxa" w:w="100"/>
            </w:tcMar>
            <w:vAlign w:val="top"/>
          </w:tcPr>
          <w:p>
            <w:pPr>
              <w:spacing w:after="0" w:before="0" w:line="252"/>
            </w:pPr>
            <w:r>
              <w:rPr>
                <w:sz w:val="17"/>
                <w:szCs w:val="17"/>
              </w:rPr>
              <w:t xml:space="preserve">Environment built from known-good media and verified free of indicators</w:t>
            </w:r>
          </w:p>
        </w:tc>
      </w:tr>
      <w:tr>
        <w:trPr>
          <w:cantSplit/>
        </w:trPr>
        <w:tc>
          <w:tcPr>
            <w:tcW w:type="dxa" w:w="682"/>
            <w:shd w:fill="F2F4F6"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Identity</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Directory services and domain controllers, the identity provider configuration, certificate services, privileged access tooling</w:t>
            </w:r>
          </w:p>
        </w:tc>
        <w:tc>
          <w:tcPr>
            <w:tcW w:type="dxa" w:w="2925"/>
            <w:shd w:fill="F2F4F6" w:color="auto" w:val="clear"/>
            <w:tcMar>
              <w:top w:type="dxa" w:w="70"/>
              <w:left w:type="dxa" w:w="100"/>
              <w:bottom w:type="dxa" w:w="70"/>
              <w:right w:type="dxa" w:w="100"/>
            </w:tcMar>
            <w:vAlign w:val="top"/>
          </w:tcPr>
          <w:p>
            <w:pPr>
              <w:spacing w:after="0" w:before="0" w:line="252"/>
            </w:pPr>
            <w:r>
              <w:rPr>
                <w:sz w:val="17"/>
                <w:szCs w:val="17"/>
              </w:rPr>
              <w:t xml:space="preserve">Privileged accounts verified, KRBTGT reset, no unexplained accounts or trusts, authentication working in the clean segment</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Core infrastructure</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DNS, DHCP, network devices, firewalls, hypervisors, storage, backup infrastructure, endpoint protection and logging</w:t>
            </w:r>
          </w:p>
        </w:tc>
        <w:tc>
          <w:tcPr>
            <w:tcW w:type="dxa" w:w="2925"/>
            <w:shd w:fill="FFFFFF" w:color="auto" w:val="clear"/>
            <w:tcMar>
              <w:top w:type="dxa" w:w="70"/>
              <w:left w:type="dxa" w:w="100"/>
              <w:bottom w:type="dxa" w:w="70"/>
              <w:right w:type="dxa" w:w="100"/>
            </w:tcMar>
            <w:vAlign w:val="top"/>
          </w:tcPr>
          <w:p>
            <w:pPr>
              <w:spacing w:after="0" w:before="0" w:line="252"/>
            </w:pPr>
            <w:r>
              <w:rPr>
                <w:sz w:val="17"/>
                <w:szCs w:val="17"/>
              </w:rPr>
              <w:t xml:space="preserve">Name resolution, storage and logging working; security tooling reporting from every rebuilt host</w:t>
            </w:r>
          </w:p>
        </w:tc>
      </w:tr>
      <w:tr>
        <w:trPr>
          <w:cantSplit/>
        </w:trPr>
        <w:tc>
          <w:tcPr>
            <w:tcW w:type="dxa" w:w="682"/>
            <w:shd w:fill="F2F4F6"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Business-critical line-of-business</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The systems on the critical asset list in priority order: for example finance and payroll, the core operational system, customer-facing services, email</w:t>
            </w:r>
          </w:p>
        </w:tc>
        <w:tc>
          <w:tcPr>
            <w:tcW w:type="dxa" w:w="2925"/>
            <w:shd w:fill="F2F4F6" w:color="auto" w:val="clear"/>
            <w:tcMar>
              <w:top w:type="dxa" w:w="70"/>
              <w:left w:type="dxa" w:w="100"/>
              <w:bottom w:type="dxa" w:w="70"/>
              <w:right w:type="dxa" w:w="100"/>
            </w:tcMar>
            <w:vAlign w:val="top"/>
          </w:tcPr>
          <w:p>
            <w:pPr>
              <w:spacing w:after="0" w:before="0" w:line="252"/>
            </w:pPr>
            <w:r>
              <w:rPr>
                <w:sz w:val="17"/>
                <w:szCs w:val="17"/>
              </w:rPr>
              <w:t xml:space="preserve">Each system validated per Section 13.4 and accepted by its business owner</w:t>
            </w:r>
          </w:p>
        </w:tc>
      </w:tr>
      <w:tr>
        <w:trPr>
          <w:cantSplit/>
        </w:trPr>
        <w:tc>
          <w:tcPr>
            <w:tcW w:type="dxa" w:w="682"/>
            <w:shd w:fill="FFFFFF"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Remaining services and endpoints</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Other applications, file shares, user workstations</w:t>
            </w:r>
          </w:p>
        </w:tc>
        <w:tc>
          <w:tcPr>
            <w:tcW w:type="dxa" w:w="2925"/>
            <w:shd w:fill="FFFFFF" w:color="auto" w:val="clear"/>
            <w:tcMar>
              <w:top w:type="dxa" w:w="70"/>
              <w:left w:type="dxa" w:w="100"/>
              <w:bottom w:type="dxa" w:w="70"/>
              <w:right w:type="dxa" w:w="100"/>
            </w:tcMar>
            <w:vAlign w:val="top"/>
          </w:tcPr>
          <w:p>
            <w:pPr>
              <w:spacing w:after="0" w:before="0" w:line="252"/>
            </w:pPr>
            <w:r>
              <w:rPr>
                <w:sz w:val="17"/>
                <w:szCs w:val="17"/>
              </w:rPr>
              <w:t xml:space="preserve">Validated per Section 13.4; users reconnected in waves</w:t>
            </w:r>
          </w:p>
        </w:tc>
      </w:tr>
    </w:tbl>
    <w:p>
      <w:pPr>
        <w:spacing w:after="120" w:line="120"/>
      </w:pPr>
      <w:r>
        <w:rPr>
          <w:sz w:val="4"/>
          <w:szCs w:val="4"/>
        </w:rPr>
        <w:t xml:space="preserve"/>
      </w:r>
    </w:p>
    <w:p>
      <w:pPr>
        <w:spacing w:after="130" w:line="262"/>
      </w:pPr>
      <w:r>
        <w:t xml:space="preserve">The recovery sequence worksheet in Appendix E records each system, its tier, its dependencies, the method chosen, the restore point, and the validation and acceptance sign-offs. The IT operations lead completes it at the start of recovery from the critical asset list and adjusts it as scoping develops.</w:t>
      </w:r>
    </w:p>
    <w:p>
      <w:pPr>
        <w:spacing w:after="60" w:line="120"/>
      </w:pPr>
      <w:r>
        <w:rPr>
          <w:sz w:val="4"/>
          <w:szCs w:val="4"/>
        </w:rPr>
        <w:t xml:space="preserve"/>
      </w:r>
    </w:p>
    <w:p>
      <w:pPr>
        <w:pStyle w:val="Heading2"/>
        <w:keepNext/>
        <w:keepLines/>
        <w:spacing w:after="90" w:before="220"/>
      </w:pPr>
      <w:bookmarkStart w:name="_RG0045" w:id="1"/>
      <w:r>
        <w:t xml:space="preserve">13.2  Rebuild or restore</w:t>
      </w:r>
      <w:bookmarkEnd w:id="1"/>
    </w:p>
    <w:p>
      <w:pPr>
        <w:spacing w:after="130" w:line="262"/>
      </w:pPr>
      <w:r>
        <w:t xml:space="preserve">For each system the IT operations lead, with the incident response firm, decides whether to rebuild it from known-good media and restore only its data, or to restore the whole system from a backup image. The decision is recorded in Appendix E against the criteria below.</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Rebuild from clean media when</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Restore from a backup image may be acceptable when</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The system was a domain controller, identity system, hypervisor, backup server or management server</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The system holds data only and was not used by the attacker</w:t>
            </w: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Attacker tooling, persistence or interactive access was found on it</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Scoping found no attacker activity on it and the restore point predates the earliest compromise date</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No restore point exists from before the earliest confirmed compromise date</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A restore point from before the compromise exists and has passed the restore test in Section 8</w:t>
            </w: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The system can be rebuilt from documented configuration or infrastructure-as-code templates in reasonable time</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Rebuilding would take materially longer and the business owner accepts the residual risk, recorded in the decision log</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The operating system or application is unsupported, and rebuilding allows a supported version</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The system is a vendor appliance that cannot be rebuilt by the organization; the vendor's recovery procedure is followed</w:t>
            </w:r>
          </w:p>
        </w:tc>
      </w:tr>
    </w:tbl>
    <w:p>
      <w:pPr>
        <w:spacing w:after="120" w:line="120"/>
      </w:pPr>
      <w:r>
        <w:rPr>
          <w:sz w:val="4"/>
          <w:szCs w:val="4"/>
        </w:rPr>
        <w:t xml:space="preserve"/>
      </w:r>
    </w:p>
    <w:p>
      <w:pPr>
        <w:spacing w:after="130" w:line="262"/>
      </w:pPr>
      <w:r>
        <w:t xml:space="preserve">Domain controllers are a special case. Where the directory itself was compromised, the incident response firm advises whether the directory can be recovered and cleaned or whether a forest recovery or new directory is required. That decision is the incident lead's, recorded in the decision log, and drives the whole recovery timetable.</w:t>
      </w:r>
    </w:p>
    <w:p>
      <w:pPr>
        <w:spacing w:after="60" w:line="120"/>
      </w:pPr>
      <w:r>
        <w:rPr>
          <w:sz w:val="4"/>
          <w:szCs w:val="4"/>
        </w:rPr>
        <w:t xml:space="preserve"/>
      </w:r>
    </w:p>
    <w:p>
      <w:pPr>
        <w:pStyle w:val="Heading2"/>
        <w:keepNext/>
        <w:keepLines/>
        <w:spacing w:after="90" w:before="220"/>
      </w:pPr>
      <w:bookmarkStart w:name="_RG0046" w:id="1"/>
      <w:r>
        <w:t xml:space="preserve">13.3  Restoring data</w:t>
      </w:r>
      <w:bookmarkEnd w:id="1"/>
    </w:p>
    <w:p>
      <w:pPr>
        <w:pStyle w:val="ListParagraph"/>
        <w:numPr>
          <w:ilvl w:val="0"/>
          <w:numId w:val="2"/>
        </w:numPr>
        <w:spacing w:after="60" w:line="262"/>
      </w:pPr>
      <w:r>
        <w:t xml:space="preserve">Data is restored from offline, immutable or otherwise isolated backups that passed the checks in Section 8.</w:t>
      </w:r>
    </w:p>
    <w:p>
      <w:pPr>
        <w:pStyle w:val="ListParagraph"/>
        <w:numPr>
          <w:ilvl w:val="0"/>
          <w:numId w:val="2"/>
        </w:numPr>
        <w:spacing w:after="60" w:line="262"/>
      </w:pPr>
      <w:r>
        <w:t xml:space="preserve">Data restored from a point after the earliest compromise date is scanned before being made available.</w:t>
      </w:r>
    </w:p>
    <w:p>
      <w:pPr>
        <w:pStyle w:val="ListParagraph"/>
        <w:numPr>
          <w:ilvl w:val="0"/>
          <w:numId w:val="2"/>
        </w:numPr>
        <w:spacing w:after="60" w:line="262"/>
      </w:pPr>
      <w:r>
        <w:t xml:space="preserve">Encrypted files are retained, not deleted, until recovery is complete, in case a decryptor becomes available later.</w:t>
      </w:r>
    </w:p>
    <w:p>
      <w:pPr>
        <w:pStyle w:val="ListParagraph"/>
        <w:numPr>
          <w:ilvl w:val="0"/>
          <w:numId w:val="2"/>
        </w:numPr>
        <w:spacing w:after="60" w:line="262"/>
      </w:pPr>
      <w:r>
        <w:t xml:space="preserve">Data lost between the restore point and the incident is recorded per system so business owners can arrange re-entry or reconciliation.</w:t>
      </w:r>
    </w:p>
    <w:p>
      <w:pPr>
        <w:spacing w:after="60" w:line="120"/>
      </w:pPr>
      <w:r>
        <w:rPr>
          <w:sz w:val="4"/>
          <w:szCs w:val="4"/>
        </w:rPr>
        <w:t xml:space="preserve"/>
      </w:r>
    </w:p>
    <w:p>
      <w:pPr>
        <w:pStyle w:val="Heading2"/>
        <w:keepNext/>
        <w:keepLines/>
        <w:spacing w:after="90" w:before="220"/>
      </w:pPr>
      <w:bookmarkStart w:name="_RG0047" w:id="1"/>
      <w:r>
        <w:t xml:space="preserve">13.4  Validation before reconnection</w:t>
      </w:r>
      <w:bookmarkEnd w:id="1"/>
    </w:p>
    <w:p>
      <w:pPr>
        <w:spacing w:after="130" w:line="262"/>
      </w:pPr>
      <w:r>
        <w:t xml:space="preserve">No recovered system is connected to the production network, to other recovered systems outside its tier, or to the internet until each item below is confirmed and recorded in Appendix E:</w:t>
      </w:r>
    </w:p>
    <w:p>
      <w:pPr>
        <w:pStyle w:val="ListParagraph"/>
        <w:numPr>
          <w:ilvl w:val="0"/>
          <w:numId w:val="4"/>
        </w:numPr>
        <w:spacing w:after="60" w:line="262"/>
      </w:pPr>
      <w:r>
        <w:t xml:space="preserve">The system was built or restored by the method recorded for it.</w:t>
      </w:r>
    </w:p>
    <w:p>
      <w:pPr>
        <w:pStyle w:val="ListParagraph"/>
        <w:numPr>
          <w:ilvl w:val="0"/>
          <w:numId w:val="4"/>
        </w:numPr>
        <w:spacing w:after="60" w:line="262"/>
      </w:pPr>
      <w:r>
        <w:t xml:space="preserve">Endpoint protection is installed, current, reporting to the console and has completed a full scan with no unresolved detections.</w:t>
      </w:r>
    </w:p>
    <w:p>
      <w:pPr>
        <w:pStyle w:val="ListParagraph"/>
        <w:numPr>
          <w:ilvl w:val="0"/>
          <w:numId w:val="4"/>
        </w:numPr>
        <w:spacing w:after="60" w:line="262"/>
      </w:pPr>
      <w:r>
        <w:t xml:space="preserve">Operating system and application patches are current, including the fix for any vulnerability used as the entry point.</w:t>
      </w:r>
    </w:p>
    <w:p>
      <w:pPr>
        <w:pStyle w:val="ListParagraph"/>
        <w:numPr>
          <w:ilvl w:val="0"/>
          <w:numId w:val="4"/>
        </w:numPr>
        <w:spacing w:after="60" w:line="262"/>
      </w:pPr>
      <w:r>
        <w:t xml:space="preserve">Local administrator accounts are unique per system and their credentials are not the ones in use before the incident.</w:t>
      </w:r>
    </w:p>
    <w:p>
      <w:pPr>
        <w:pStyle w:val="ListParagraph"/>
        <w:numPr>
          <w:ilvl w:val="0"/>
          <w:numId w:val="4"/>
        </w:numPr>
        <w:spacing w:after="60" w:line="262"/>
      </w:pPr>
      <w:r>
        <w:t xml:space="preserve">No indicators of compromise from the scoping record are present.</w:t>
      </w:r>
    </w:p>
    <w:p>
      <w:pPr>
        <w:pStyle w:val="ListParagraph"/>
        <w:numPr>
          <w:ilvl w:val="0"/>
          <w:numId w:val="4"/>
        </w:numPr>
        <w:spacing w:after="60" w:line="262"/>
      </w:pPr>
      <w:r>
        <w:t xml:space="preserve">Logging is forwarding to the central log store.</w:t>
      </w:r>
    </w:p>
    <w:p>
      <w:pPr>
        <w:pStyle w:val="ListParagraph"/>
        <w:numPr>
          <w:ilvl w:val="0"/>
          <w:numId w:val="4"/>
        </w:numPr>
        <w:spacing w:after="60" w:line="262"/>
      </w:pPr>
      <w:r>
        <w:t xml:space="preserve">The business owner has tested the service and accepted it.</w:t>
      </w:r>
    </w:p>
    <w:p>
      <w:pPr>
        <w:spacing w:after="130" w:line="262"/>
      </w:pPr>
      <w:r>
        <w:t xml:space="preserve">Users are reconnected in waves, starting with the staff needed to validate business-critical systems. Each wave is watched for at least 24 hours for alerts before the next wave is connected, unless the incident lead records a reason to shorten it.</w:t>
      </w:r>
    </w:p>
    <w:p>
      <w:pPr>
        <w:spacing w:after="60" w:line="120"/>
      </w:pPr>
      <w:r>
        <w:rPr>
          <w:sz w:val="4"/>
          <w:szCs w:val="4"/>
        </w:rPr>
        <w:t xml:space="preserve"/>
      </w:r>
    </w:p>
    <w:p>
      <w:pPr>
        <w:pStyle w:val="Heading1"/>
        <w:keepNext/>
        <w:keepLines/>
        <w:pBdr>
          <w:bottom w:val="single" w:color="D4DAE0" w:sz="4" w:space="4"/>
        </w:pBdr>
        <w:spacing w:after="140" w:before="300"/>
      </w:pPr>
      <w:bookmarkStart w:name="_RG0048" w:id="1"/>
      <w:r>
        <w:t xml:space="preserve">14.  Communications</w:t>
      </w:r>
      <w:bookmarkEnd w:id="1"/>
    </w:p>
    <w:p>
      <w:pPr>
        <w:spacing w:after="130" w:line="262"/>
      </w:pPr>
      <w:r>
        <w:t xml:space="preserve">Communications are owned by the communications lead named in PLN-IR-001, approved by the incident lead for accuracy and by legal counsel for exposure, and released only by the executive sponsor. Every statement is factual, states only what is known, avoids speculation on cause, attribution or data affected, and gives a time for the next update. Templates are in Appendix F.</w:t>
      </w:r>
    </w:p>
    <w:p>
      <w:pPr>
        <w:spacing w:after="60" w:line="120"/>
      </w:pPr>
      <w:r>
        <w:rPr>
          <w:sz w:val="4"/>
          <w:szCs w:val="4"/>
        </w:rPr>
        <w:t xml:space="preserve"/>
      </w:r>
    </w:p>
    <w:p>
      <w:pPr>
        <w:pStyle w:val="Heading2"/>
        <w:keepNext/>
        <w:keepLines/>
        <w:spacing w:after="90" w:before="220"/>
      </w:pPr>
      <w:bookmarkStart w:name="_RG0049" w:id="1"/>
      <w:r>
        <w:t xml:space="preserve">14.1  Audiences and timing</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754"/>
        <w:gridCol w:w="1949"/>
        <w:gridCol w:w="2923"/>
        <w:gridCol w:w="3120"/>
      </w:tblGrid>
      <w:tr>
        <w:trPr>
          <w:cantSplit/>
          <w:tblHeader/>
        </w:trPr>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Audience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First message</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Channel</w:t>
            </w:r>
          </w:p>
        </w:tc>
        <w:tc>
          <w:tcPr>
            <w:tcW w:type="dxa" w:w="312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Content constraints</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Staff</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Within the first hour</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Out-of-band: text message, phone tree or personal email lists held offline</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What to do and not do; who to call; do not discuss externally; next update time</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Board or governing body</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Within 4 hours</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Telephone, then written briefing through counsel</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Facts, decisions taken, decisions pending including any ransom decision, next briefing</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Customers and partners</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When service impact is visible to them, or as counsel advises</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Approved statement by email from an unaffected system, website notice</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Service impact and expected update times; no detail on cause or data until counsel approves</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Media</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Reactive only, unless counsel and the executive sponsor decide otherwise</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Holding statement issued by the communications lead</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Holding statement only; no interviews in the first 72 hours unless approved</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Regulators and affected individuals</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As determined by counsel</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As required by each obligation</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Drafted by counsel</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50" w:id="1"/>
      <w:r>
        <w:t xml:space="preserve">14.2  Rules for every statement</w:t>
      </w:r>
      <w:bookmarkEnd w:id="1"/>
    </w:p>
    <w:p>
      <w:pPr>
        <w:pStyle w:val="ListParagraph"/>
        <w:numPr>
          <w:ilvl w:val="0"/>
          <w:numId w:val="2"/>
        </w:numPr>
        <w:spacing w:after="60" w:line="262"/>
      </w:pPr>
      <w:r>
        <w:t xml:space="preserve">Do not name the ransomware group or variant publicly unless counsel approves. Attribution can be wrong and can complicate sanctions analysis.</w:t>
      </w:r>
    </w:p>
    <w:p>
      <w:pPr>
        <w:pStyle w:val="ListParagraph"/>
        <w:numPr>
          <w:ilvl w:val="0"/>
          <w:numId w:val="2"/>
        </w:numPr>
        <w:spacing w:after="60" w:line="262"/>
      </w:pPr>
      <w:r>
        <w:t xml:space="preserve">Do not state that no data was taken unless scoping has established it with adequate log coverage. A statement later contradicted by a leak site is worse than silence.</w:t>
      </w:r>
    </w:p>
    <w:p>
      <w:pPr>
        <w:pStyle w:val="ListParagraph"/>
        <w:numPr>
          <w:ilvl w:val="0"/>
          <w:numId w:val="2"/>
        </w:numPr>
        <w:spacing w:after="60" w:line="262"/>
      </w:pPr>
      <w:r>
        <w:t xml:space="preserve">Do not state or imply the organization will or will not pay.</w:t>
      </w:r>
    </w:p>
    <w:p>
      <w:pPr>
        <w:pStyle w:val="ListParagraph"/>
        <w:numPr>
          <w:ilvl w:val="0"/>
          <w:numId w:val="2"/>
        </w:numPr>
        <w:spacing w:after="60" w:line="262"/>
      </w:pPr>
      <w:r>
        <w:t xml:space="preserve">Do not estimate recovery dates that the IT operations lead has not confirmed.</w:t>
      </w:r>
    </w:p>
    <w:p>
      <w:pPr>
        <w:pStyle w:val="ListParagraph"/>
        <w:numPr>
          <w:ilvl w:val="0"/>
          <w:numId w:val="2"/>
        </w:numPr>
        <w:spacing w:after="60" w:line="262"/>
      </w:pPr>
      <w:r>
        <w:t xml:space="preserve">Assume the attacker reads every public statement and may respond to it, including by publishing data.</w:t>
      </w:r>
    </w:p>
    <w:p>
      <w:pPr>
        <w:pStyle w:val="ListParagraph"/>
        <w:numPr>
          <w:ilvl w:val="0"/>
          <w:numId w:val="2"/>
        </w:numPr>
        <w:spacing w:after="60" w:line="262"/>
      </w:pPr>
      <w:r>
        <w:t xml:space="preserve">Record every statement released, its approvers and its recipients in the incident log.</w:t>
      </w:r>
    </w:p>
    <w:p>
      <w:pPr>
        <w:spacing w:after="60" w:line="120"/>
      </w:pPr>
      <w:r>
        <w:rPr>
          <w:sz w:val="4"/>
          <w:szCs w:val="4"/>
        </w:rPr>
        <w:t xml:space="preserve"/>
      </w:r>
    </w:p>
    <w:p>
      <w:pPr>
        <w:pStyle w:val="Heading2"/>
        <w:keepNext/>
        <w:keepLines/>
        <w:spacing w:after="90" w:before="220"/>
      </w:pPr>
      <w:bookmarkStart w:name="_RG0051" w:id="1"/>
      <w:r>
        <w:t xml:space="preserve">14.3  Contact from the attacker</w:t>
      </w:r>
      <w:bookmarkEnd w:id="1"/>
    </w:p>
    <w:p>
      <w:pPr>
        <w:spacing w:after="130" w:line="262"/>
      </w:pPr>
      <w:r>
        <w:t xml:space="preserve">Attackers sometimes contact staff, customers, journalists or partners directly to increase pressure. Staff are instructed to forward any such contact to the incident lead without replying. The communications lead prepares a short response for customers and partners who report being contacted, approved by counsel.</w:t>
      </w:r>
    </w:p>
    <w:p>
      <w:pPr>
        <w:spacing w:after="60" w:line="120"/>
      </w:pPr>
      <w:r>
        <w:rPr>
          <w:sz w:val="4"/>
          <w:szCs w:val="4"/>
        </w:rPr>
        <w:t xml:space="preserve"/>
      </w:r>
    </w:p>
    <w:p>
      <w:pPr>
        <w:pStyle w:val="Heading1"/>
        <w:keepNext/>
        <w:keepLines/>
        <w:pBdr>
          <w:bottom w:val="single" w:color="D4DAE0" w:sz="4" w:space="4"/>
        </w:pBdr>
        <w:spacing w:after="140" w:before="300"/>
      </w:pPr>
      <w:bookmarkStart w:name="_RG0052" w:id="1"/>
      <w:r>
        <w:t xml:space="preserve">15.  Post-incident review and hardening</w:t>
      </w:r>
      <w:bookmarkEnd w:id="1"/>
    </w:p>
    <w:p>
      <w:pPr>
        <w:spacing w:after="130" w:line="262"/>
      </w:pPr>
      <w:r>
        <w:t xml:space="preserve">The after-action review is held using the record in PLN-IR-001 within 30 days of closure. In addition to the questions PLN-IR-001 sets, the review answers the ransomware-specific questions below and assigns every resulting action an owner and a due date in a hardening tracker reviewed by the executive sponsor monthly until all actions are closed.</w:t>
      </w:r>
    </w:p>
    <w:p>
      <w:pPr>
        <w:spacing w:after="60" w:line="120"/>
      </w:pPr>
      <w:r>
        <w:rPr>
          <w:sz w:val="4"/>
          <w:szCs w:val="4"/>
        </w:rPr>
        <w:t xml:space="preserve"/>
      </w:r>
    </w:p>
    <w:p>
      <w:pPr>
        <w:pStyle w:val="Heading2"/>
        <w:keepNext/>
        <w:keepLines/>
        <w:spacing w:after="90" w:before="220"/>
      </w:pPr>
      <w:bookmarkStart w:name="_RG0053" w:id="1"/>
      <w:r>
        <w:t xml:space="preserve">15.1  Questions the review must answer</w:t>
      </w:r>
      <w:bookmarkEnd w:id="1"/>
    </w:p>
    <w:p>
      <w:pPr>
        <w:pStyle w:val="ListParagraph"/>
        <w:numPr>
          <w:ilvl w:val="0"/>
          <w:numId w:val="5"/>
        </w:numPr>
        <w:spacing w:after="60" w:line="262"/>
      </w:pPr>
      <w:r>
        <w:t xml:space="preserve">How did the attacker get in, and which control would have stopped it?</w:t>
      </w:r>
    </w:p>
    <w:p>
      <w:pPr>
        <w:pStyle w:val="ListParagraph"/>
        <w:numPr>
          <w:ilvl w:val="0"/>
          <w:numId w:val="5"/>
        </w:numPr>
        <w:spacing w:after="60" w:line="262"/>
      </w:pPr>
      <w:r>
        <w:t xml:space="preserve">How long was the attacker present before detection, and which signal in Section 4 was first available but not acted on?</w:t>
      </w:r>
    </w:p>
    <w:p>
      <w:pPr>
        <w:pStyle w:val="ListParagraph"/>
        <w:numPr>
          <w:ilvl w:val="0"/>
          <w:numId w:val="5"/>
        </w:numPr>
        <w:spacing w:after="60" w:line="262"/>
      </w:pPr>
      <w:r>
        <w:t xml:space="preserve">Were the pre-authorizations in Section 3 used? Did anyone wait for permission they already had?</w:t>
      </w:r>
    </w:p>
    <w:p>
      <w:pPr>
        <w:pStyle w:val="ListParagraph"/>
        <w:numPr>
          <w:ilvl w:val="0"/>
          <w:numId w:val="5"/>
        </w:numPr>
        <w:spacing w:after="60" w:line="262"/>
      </w:pPr>
      <w:r>
        <w:t xml:space="preserve">Did the backups survive? Which copies, and why? How long did the restore actually take against the stated recovery time?</w:t>
      </w:r>
    </w:p>
    <w:p>
      <w:pPr>
        <w:pStyle w:val="ListParagraph"/>
        <w:numPr>
          <w:ilvl w:val="0"/>
          <w:numId w:val="5"/>
        </w:numPr>
        <w:spacing w:after="60" w:line="262"/>
      </w:pPr>
      <w:r>
        <w:t xml:space="preserve">Was data taken, and did the logs available allow that question to be answered with confidence?</w:t>
      </w:r>
    </w:p>
    <w:p>
      <w:pPr>
        <w:pStyle w:val="ListParagraph"/>
        <w:numPr>
          <w:ilvl w:val="0"/>
          <w:numId w:val="5"/>
        </w:numPr>
        <w:spacing w:after="60" w:line="262"/>
      </w:pPr>
      <w:r>
        <w:t xml:space="preserve">Were all notification deadlines met?</w:t>
      </w:r>
    </w:p>
    <w:p>
      <w:pPr>
        <w:pStyle w:val="ListParagraph"/>
        <w:numPr>
          <w:ilvl w:val="0"/>
          <w:numId w:val="5"/>
        </w:numPr>
        <w:spacing w:after="60" w:line="262"/>
      </w:pPr>
      <w:r>
        <w:t xml:space="preserve">Which steps in this playbook were wrong, missing or ignored, and why?</w:t>
      </w:r>
    </w:p>
    <w:p>
      <w:pPr>
        <w:spacing w:after="60" w:line="120"/>
      </w:pPr>
      <w:r>
        <w:rPr>
          <w:sz w:val="4"/>
          <w:szCs w:val="4"/>
        </w:rPr>
        <w:t xml:space="preserve"/>
      </w:r>
    </w:p>
    <w:p>
      <w:pPr>
        <w:pStyle w:val="Heading2"/>
        <w:keepNext/>
        <w:keepLines/>
        <w:spacing w:after="90" w:before="220"/>
      </w:pPr>
      <w:bookmarkStart w:name="_RG0054" w:id="1"/>
      <w:r>
        <w:t xml:space="preserve">15.2  Hardening priorities</w:t>
      </w:r>
      <w:bookmarkEnd w:id="1"/>
    </w:p>
    <w:p>
      <w:pPr>
        <w:spacing w:after="130" w:line="262"/>
      </w:pPr>
      <w:r>
        <w:t xml:space="preserve">The following are reviewed after every ransomware incident and implemented where absent, in this order unless the review records a reason to change it: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262"/>
        <w:gridCol w:w="3900"/>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26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Control</w:t>
            </w:r>
          </w:p>
        </w:tc>
        <w:tc>
          <w:tcPr>
            <w:tcW w:type="dxa" w:w="3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it addresses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Phishing-resistant MFA for all remote access, all privileged accounts and all cloud administration</w:t>
            </w:r>
          </w:p>
        </w:tc>
        <w:tc>
          <w:tcPr>
            <w:tcW w:type="dxa" w:w="3900"/>
            <w:shd w:fill="FFFFFF" w:color="auto" w:val="clear"/>
            <w:tcMar>
              <w:top w:type="dxa" w:w="70"/>
              <w:left w:type="dxa" w:w="100"/>
              <w:bottom w:type="dxa" w:w="70"/>
              <w:right w:type="dxa" w:w="100"/>
            </w:tcMar>
            <w:vAlign w:val="top"/>
          </w:tcPr>
          <w:p>
            <w:pPr>
              <w:spacing w:after="0" w:before="0" w:line="252"/>
            </w:pPr>
            <w:r>
              <w:rPr>
                <w:sz w:val="17"/>
                <w:szCs w:val="17"/>
              </w:rPr>
              <w:t xml:space="preserve">Stolen credentials, the most common entry route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Removal of internet-exposed remote desktop and closure of unused remote access paths</w:t>
            </w:r>
          </w:p>
        </w:tc>
        <w:tc>
          <w:tcPr>
            <w:tcW w:type="dxa" w:w="3900"/>
            <w:shd w:fill="F2F4F6" w:color="auto" w:val="clear"/>
            <w:tcMar>
              <w:top w:type="dxa" w:w="70"/>
              <w:left w:type="dxa" w:w="100"/>
              <w:bottom w:type="dxa" w:w="70"/>
              <w:right w:type="dxa" w:w="100"/>
            </w:tcMar>
            <w:vAlign w:val="top"/>
          </w:tcPr>
          <w:p>
            <w:pPr>
              <w:spacing w:after="0" w:before="0" w:line="252"/>
            </w:pPr>
            <w:r>
              <w:rPr>
                <w:sz w:val="17"/>
                <w:szCs w:val="17"/>
              </w:rPr>
              <w:t xml:space="preserve">Direct entry through exposed services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Separate privileged accounts used only from dedicated administrative workstations</w:t>
            </w:r>
          </w:p>
        </w:tc>
        <w:tc>
          <w:tcPr>
            <w:tcW w:type="dxa" w:w="3900"/>
            <w:shd w:fill="FFFFFF" w:color="auto" w:val="clear"/>
            <w:tcMar>
              <w:top w:type="dxa" w:w="70"/>
              <w:left w:type="dxa" w:w="100"/>
              <w:bottom w:type="dxa" w:w="70"/>
              <w:right w:type="dxa" w:w="100"/>
            </w:tcMar>
            <w:vAlign w:val="top"/>
          </w:tcPr>
          <w:p>
            <w:pPr>
              <w:spacing w:after="0" w:before="0" w:line="252"/>
            </w:pPr>
            <w:r>
              <w:rPr>
                <w:sz w:val="17"/>
                <w:szCs w:val="17"/>
              </w:rPr>
              <w:t xml:space="preserve">Credential theft from everyday workstations</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Backups held offline or immutable, with backup administration on separate credentials and MFA, and restores tested at planned intervals and not less than quarterly</w:t>
            </w:r>
          </w:p>
        </w:tc>
        <w:tc>
          <w:tcPr>
            <w:tcW w:type="dxa" w:w="3900"/>
            <w:shd w:fill="F2F4F6" w:color="auto" w:val="clear"/>
            <w:tcMar>
              <w:top w:type="dxa" w:w="70"/>
              <w:left w:type="dxa" w:w="100"/>
              <w:bottom w:type="dxa" w:w="70"/>
              <w:right w:type="dxa" w:w="100"/>
            </w:tcMar>
            <w:vAlign w:val="top"/>
          </w:tcPr>
          <w:p>
            <w:pPr>
              <w:spacing w:after="0" w:before="0" w:line="252"/>
            </w:pPr>
            <w:r>
              <w:rPr>
                <w:sz w:val="17"/>
                <w:szCs w:val="17"/>
              </w:rPr>
              <w:t xml:space="preserve">Destruction of the recovery path</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Endpoint detection and response on all servers and workstations, with tamper protection and monitored alerts</w:t>
            </w:r>
          </w:p>
        </w:tc>
        <w:tc>
          <w:tcPr>
            <w:tcW w:type="dxa" w:w="3900"/>
            <w:shd w:fill="FFFFFF" w:color="auto" w:val="clear"/>
            <w:tcMar>
              <w:top w:type="dxa" w:w="70"/>
              <w:left w:type="dxa" w:w="100"/>
              <w:bottom w:type="dxa" w:w="70"/>
              <w:right w:type="dxa" w:w="100"/>
            </w:tcMar>
            <w:vAlign w:val="top"/>
          </w:tcPr>
          <w:p>
            <w:pPr>
              <w:spacing w:after="0" w:before="0" w:line="252"/>
            </w:pPr>
            <w:r>
              <w:rPr>
                <w:sz w:val="17"/>
                <w:szCs w:val="17"/>
              </w:rPr>
              <w:t xml:space="preserve">Undetected attacker tooling</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Patching of internet-facing systems within the timescales in the organization's vulnerability management standard</w:t>
            </w:r>
          </w:p>
        </w:tc>
        <w:tc>
          <w:tcPr>
            <w:tcW w:type="dxa" w:w="3900"/>
            <w:shd w:fill="F2F4F6" w:color="auto" w:val="clear"/>
            <w:tcMar>
              <w:top w:type="dxa" w:w="70"/>
              <w:left w:type="dxa" w:w="100"/>
              <w:bottom w:type="dxa" w:w="70"/>
              <w:right w:type="dxa" w:w="100"/>
            </w:tcMar>
            <w:vAlign w:val="top"/>
          </w:tcPr>
          <w:p>
            <w:pPr>
              <w:spacing w:after="0" w:before="0" w:line="252"/>
            </w:pPr>
            <w:r>
              <w:rPr>
                <w:sz w:val="17"/>
                <w:szCs w:val="17"/>
              </w:rPr>
              <w:t xml:space="preserve">Exploitation of known vulnerabilities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Network segmentation that prevents workstation-to-workstation SMB and RDP and restricts access to identity and backup systems</w:t>
            </w:r>
          </w:p>
        </w:tc>
        <w:tc>
          <w:tcPr>
            <w:tcW w:type="dxa" w:w="3900"/>
            <w:shd w:fill="FFFFFF" w:color="auto" w:val="clear"/>
            <w:tcMar>
              <w:top w:type="dxa" w:w="70"/>
              <w:left w:type="dxa" w:w="100"/>
              <w:bottom w:type="dxa" w:w="70"/>
              <w:right w:type="dxa" w:w="100"/>
            </w:tcMar>
            <w:vAlign w:val="top"/>
          </w:tcPr>
          <w:p>
            <w:pPr>
              <w:spacing w:after="0" w:before="0" w:line="252"/>
            </w:pPr>
            <w:r>
              <w:rPr>
                <w:sz w:val="17"/>
                <w:szCs w:val="17"/>
              </w:rPr>
              <w:t xml:space="preserve">Lateral movement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Centralized log retention of at least 90 days for identity, firewall, VPN and endpoint sources</w:t>
            </w:r>
          </w:p>
        </w:tc>
        <w:tc>
          <w:tcPr>
            <w:tcW w:type="dxa" w:w="3900"/>
            <w:shd w:fill="F2F4F6" w:color="auto" w:val="clear"/>
            <w:tcMar>
              <w:top w:type="dxa" w:w="70"/>
              <w:left w:type="dxa" w:w="100"/>
              <w:bottom w:type="dxa" w:w="70"/>
              <w:right w:type="dxa" w:w="100"/>
            </w:tcMar>
            <w:vAlign w:val="top"/>
          </w:tcPr>
          <w:p>
            <w:pPr>
              <w:spacing w:after="0" w:before="0" w:line="252"/>
            </w:pPr>
            <w:r>
              <w:rPr>
                <w:sz w:val="17"/>
                <w:szCs w:val="17"/>
              </w:rPr>
              <w:t xml:space="preserve">Inability to scope exfiltration and entry point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Outbound traffic monitoring and restriction for servers</w:t>
            </w:r>
          </w:p>
        </w:tc>
        <w:tc>
          <w:tcPr>
            <w:tcW w:type="dxa" w:w="3900"/>
            <w:shd w:fill="FFFFFF" w:color="auto" w:val="clear"/>
            <w:tcMar>
              <w:top w:type="dxa" w:w="70"/>
              <w:left w:type="dxa" w:w="100"/>
              <w:bottom w:type="dxa" w:w="70"/>
              <w:right w:type="dxa" w:w="100"/>
            </w:tcMar>
            <w:vAlign w:val="top"/>
          </w:tcPr>
          <w:p>
            <w:pPr>
              <w:spacing w:after="0" w:before="0" w:line="252"/>
            </w:pPr>
            <w:r>
              <w:rPr>
                <w:sz w:val="17"/>
                <w:szCs w:val="17"/>
              </w:rPr>
              <w:t xml:space="preserve">Undetected exfiltration</w:t>
            </w:r>
          </w:p>
        </w:tc>
      </w:tr>
    </w:tbl>
    <w:p>
      <w:pPr>
        <w:spacing w:after="120" w:line="120"/>
      </w:pPr>
      <w:r>
        <w:rPr>
          <w:sz w:val="4"/>
          <w:szCs w:val="4"/>
        </w:rPr>
        <w:t xml:space="preserve"/>
      </w:r>
    </w:p>
    <w:p>
      <w:pPr>
        <w:spacing w:after="130" w:line="262"/>
      </w:pPr>
      <w:r>
        <w:t xml:space="preserve">The playbook itself is revised within 30 days of the review, and the revision is recorded in the record of changes.</w:t>
      </w:r>
    </w:p>
    <w:p>
      <w:pPr>
        <w:spacing w:after="60" w:line="120"/>
      </w:pPr>
      <w:r>
        <w:rPr>
          <w:sz w:val="4"/>
          <w:szCs w:val="4"/>
        </w:rPr>
        <w:t xml:space="preserve"/>
      </w:r>
    </w:p>
    <w:p>
      <w:pPr>
        <w:pStyle w:val="Heading1"/>
        <w:keepNext/>
        <w:keepLines/>
        <w:pBdr>
          <w:bottom w:val="single" w:color="D4DAE0" w:sz="4" w:space="4"/>
        </w:pBdr>
        <w:spacing w:after="140" w:before="300"/>
      </w:pPr>
      <w:bookmarkStart w:name="_RG0055" w:id="1"/>
      <w:r>
        <w:t xml:space="preserve">16.  Roles and responsibilities</w:t>
      </w:r>
      <w:bookmarkEnd w:id="1"/>
    </w:p>
    <w:p>
      <w:pPr>
        <w:spacing w:after="130" w:line="262"/>
      </w:pPr>
      <w:r>
        <w:t xml:space="preserve">The roles below add to those defined in PLN-IR-001. One person may hold more than one role in a small organization, but the executive decision authority and the incident lead are never the same person, and each role has a named deputy recorded in the contact list in PLN-IR-001.</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4483"/>
        <w:gridCol w:w="3119"/>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Role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Responsibilities under this playbook</w:t>
            </w:r>
          </w:p>
        </w:tc>
        <w:tc>
          <w:tcPr>
            <w:tcW w:type="dxa" w:w="311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Decision rights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Executive decision authority</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Receives briefings; decides on ransom, public statements and acceptance of residual risk; signs pre-authorizations</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Ransom decision; release of external statements; acceptance of restore-in-place risk for critical systems</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Incident lead (PLN-IR-001)</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Declares; directs the response; owns the incident log, decision log, scoping record and closure</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Network and internet disconnection; engagement of responders after insurer consent; eradication timing; closure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IT operations lead</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Isolation; evidence preservation; segmentation; system impact register; recovery sequence; validation</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Isolation of systems and segments; internet disconnection if the incident lead is unreachable for 15 minutes; rebuild or restore per system</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Privileged account review; credential resets; session revocation; KRBTGT resets; conditional access review</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Disabling any account; disabling remote access and federation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Backup owner</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Suspends and protects backups; console access review; restore point register; restore tests</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Suspending jobs and locking backup administration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Insurer liaison</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Notifies the insurer; obtains consent; holds the claim reference; tracks insurer conditions</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None beyond notification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Legal counsel and breach coach</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Privilege; notification analysis; sanctions screening; regulator and individual notifications; reviews all statements</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Determination of notification obligations</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Communications lead (PLN-IR-001)</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Drafts staff, customer and media messages; maintains the statement record</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None; releases only what the executive decision authority approves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Advises on cost and payment means; tracks incident costs for the claim</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None</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Incident response firm</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Forensics; scoping; eradication direction; actor intelligence; recovery advice</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As set in its engagement through counsel</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Business system owners</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Confirm recovery priority; test and accept restored systems; record data lost</w:t>
            </w:r>
          </w:p>
        </w:tc>
        <w:tc>
          <w:tcPr>
            <w:tcW w:type="dxa" w:w="3119"/>
            <w:shd w:fill="FFFFFF" w:color="auto" w:val="clear"/>
            <w:tcMar>
              <w:top w:type="dxa" w:w="70"/>
              <w:left w:type="dxa" w:w="100"/>
              <w:bottom w:type="dxa" w:w="70"/>
              <w:right w:type="dxa" w:w="100"/>
            </w:tcMar>
            <w:vAlign w:val="top"/>
          </w:tcPr>
          <w:p>
            <w:pPr>
              <w:spacing w:after="0" w:before="0" w:line="252"/>
            </w:pPr>
            <w:r>
              <w:rPr>
                <w:sz w:val="17"/>
                <w:szCs w:val="17"/>
              </w:rPr>
              <w:t xml:space="preserve">Acceptance of each restored system</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staff</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Report signals; isolate, do not power off; follow instructions on the out-of-band channel; forward any attacker contact</w:t>
            </w:r>
          </w:p>
        </w:tc>
        <w:tc>
          <w:tcPr>
            <w:tcW w:type="dxa" w:w="3119"/>
            <w:shd w:fill="F2F4F6" w:color="auto" w:val="clear"/>
            <w:tcMar>
              <w:top w:type="dxa" w:w="70"/>
              <w:left w:type="dxa" w:w="100"/>
              <w:bottom w:type="dxa" w:w="70"/>
              <w:right w:type="dxa" w:w="100"/>
            </w:tcMar>
            <w:vAlign w:val="top"/>
          </w:tcPr>
          <w:p>
            <w:pPr>
              <w:spacing w:after="0" w:before="0" w:line="252"/>
            </w:pPr>
            <w:r>
              <w:rPr>
                <w:sz w:val="17"/>
                <w:szCs w:val="17"/>
              </w:rPr>
              <w:t xml:space="preserve">Disconnecting their own device from the network</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6" w:id="1"/>
      <w:r>
        <w:t xml:space="preserve">17.  Evidence of operation</w:t>
      </w:r>
      <w:bookmarkEnd w:id="1"/>
    </w:p>
    <w:p>
      <w:pPr>
        <w:spacing w:after="130" w:line="262"/>
      </w:pPr>
      <w:r>
        <w:t xml:space="preserve">The table below states what demonstrates that this playbook is in operation rather than on a shelf. An assessor, auditor or insurer may ask for any of these records. Each must cover the population stated, and a record that covers less is a finding.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754"/>
        <w:gridCol w:w="3508"/>
        <w:gridCol w:w="2533"/>
        <w:gridCol w:w="1951"/>
      </w:tblGrid>
      <w:tr>
        <w:trPr>
          <w:cantSplit/>
          <w:tblHeader/>
        </w:trPr>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Artifact</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Population covered</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Frequency</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Playbook exercised</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Tabletop exercise record: scenario, attendees, decisions made, gaps found, actions with owners</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All roles in Section 16, including the executive decision authority and the insurer liaison</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At planned intervals, and not less than annually</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Backup isolation verified</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Backup isolation test record showing that a copy is unreachable from the production network and from production administrator credentials, and a successful isolated restore</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Every system on the critical asset list</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At planned intervals, and not less than quarterly</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Disconnection pre-authorized</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Signed pre-authorization covering each decision in Section 3, naming the role holders</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Every decision in the Section 3 table and every named role holder</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Annually and on any change of role holder</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Insurer contact verified</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Record of a call to the claims hotline confirming the number, notice deadline, consent requirements, panel requirements and ransom coverage</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Each cyber insurance policy in force</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At each policy renewal, and not less than annually</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Out-of-band channel works</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Test record of the out-of-band channel and staff contact list</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All roles in Section 16 and their deputies</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At planned intervals, and not less than semi-annually</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Privileged accounts known</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Approved list of privileged accounts and roles, reconciled against a current export</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All privileged groups and roles, on premises and cloud</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At planned intervals, and not less than quarterly</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Clean administration possible</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Record that clean administrative workstations exist, are offline or isolated, and have been tested to authenticate</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Each clean workstation</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At planned intervals, and not less than semi-annually</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Recovery order defined</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Current critical asset list with dependencies and tiers (Appendix E pre-filled)</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Every system on the critical asset list</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Annually and on significant change</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Staff instructed</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Record of the incident card or instruction issued to staff, with acknowledgment</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All staff with network-connected devices</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On joining and annually</w:t>
            </w:r>
          </w:p>
        </w:tc>
      </w:tr>
      <w:tr>
        <w:trPr>
          <w:cantSplit/>
        </w:trPr>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Playbook reviewed</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Record of changes in this document</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This document</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Annually and within 30 days of any ransomware incident or exercise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7" w:id="1"/>
      <w:r>
        <w:t xml:space="preserve">18.  What this document cannot do</w:t>
      </w:r>
      <w:bookmarkEnd w:id="1"/>
    </w:p>
    <w:p>
      <w:pPr>
        <w:pStyle w:val="ListParagraph"/>
        <w:numPr>
          <w:ilvl w:val="0"/>
          <w:numId w:val="2"/>
        </w:numPr>
        <w:spacing w:after="60" w:line="262"/>
      </w:pPr>
      <w:r>
        <w:t xml:space="preserve">It cannot make up for preparation that has not been done. A playbook that relies on offline backups, signed pre-authorizations and a tested out-of-band channel does not work where those do not exist. Appendix H sets out what must be in place first.</w:t>
      </w:r>
    </w:p>
    <w:p>
      <w:pPr>
        <w:pStyle w:val="ListParagraph"/>
        <w:numPr>
          <w:ilvl w:val="0"/>
          <w:numId w:val="2"/>
        </w:numPr>
        <w:spacing w:after="60" w:line="262"/>
      </w:pPr>
      <w:r>
        <w:t xml:space="preserve">It cannot provide forensic capability. Memory capture, malware analysis, scoping of exfiltration and directory recovery require specialist skills. The playbook tells the organization when to call for them and what to protect until they arrive.</w:t>
      </w:r>
    </w:p>
    <w:p>
      <w:pPr>
        <w:pStyle w:val="ListParagraph"/>
        <w:numPr>
          <w:ilvl w:val="0"/>
          <w:numId w:val="2"/>
        </w:numPr>
        <w:spacing w:after="60" w:line="262"/>
      </w:pPr>
      <w:r>
        <w:t xml:space="preserve">It is not legal advice. Notification obligations, sanctions screening, privilege and the lawfulness of any payment depend on facts and jurisdictions that only legal counsel can assess.</w:t>
      </w:r>
    </w:p>
    <w:p>
      <w:pPr>
        <w:pStyle w:val="ListParagraph"/>
        <w:numPr>
          <w:ilvl w:val="0"/>
          <w:numId w:val="2"/>
        </w:numPr>
        <w:spacing w:after="60" w:line="262"/>
      </w:pPr>
      <w:r>
        <w:t xml:space="preserve">It cannot determine what an insurance policy covers. The policy wording governs, and it changes at renewal.</w:t>
      </w:r>
    </w:p>
    <w:p>
      <w:pPr>
        <w:pStyle w:val="ListParagraph"/>
        <w:numPr>
          <w:ilvl w:val="0"/>
          <w:numId w:val="2"/>
        </w:numPr>
        <w:spacing w:after="60" w:line="262"/>
      </w:pPr>
      <w:r>
        <w:t xml:space="preserve">It cannot guarantee recovery. Where backups were destroyed or never existed, no response procedure restores the data.</w:t>
      </w:r>
    </w:p>
    <w:p>
      <w:pPr>
        <w:pStyle w:val="ListParagraph"/>
        <w:numPr>
          <w:ilvl w:val="0"/>
          <w:numId w:val="2"/>
        </w:numPr>
        <w:spacing w:after="60" w:line="262"/>
      </w:pPr>
      <w:r>
        <w:t xml:space="preserve">It cannot prevent the publication of stolen data. Once data has left the organization, the response limits harm and meets obligations; it does not recover the data.</w:t>
      </w:r>
    </w:p>
    <w:p>
      <w:pPr>
        <w:pStyle w:val="ListParagraph"/>
        <w:numPr>
          <w:ilvl w:val="0"/>
          <w:numId w:val="2"/>
        </w:numPr>
        <w:spacing w:after="60" w:line="262"/>
      </w:pPr>
      <w:r>
        <w:t xml:space="preserve">It reflects government guidance and regulation as they stood when it was written. Reporting routes, the status of CIRCIA and sanctions guidance change, and are re-verified at each review.</w:t>
      </w:r>
    </w:p>
    <w:p>
      <w:pPr>
        <w:pStyle w:val="Heading1"/>
        <w:keepNext/>
        <w:keepLines/>
        <w:pageBreakBefore/>
        <w:pBdr>
          <w:bottom w:val="single" w:color="D4DAE0" w:sz="4" w:space="4"/>
        </w:pBdr>
        <w:spacing w:after="140" w:before="300"/>
      </w:pPr>
      <w:bookmarkStart w:name="_RG0058" w:id="1"/>
      <w:r>
        <w:t xml:space="preserve">Appendix A.  First-hour checklist</w:t>
      </w:r>
      <w:bookmarkEnd w:id="1"/>
    </w:p>
    <w:p>
      <w:pPr>
        <w:spacing w:after="130" w:line="262"/>
      </w:pPr>
      <w:r>
        <w:t xml:space="preserve">Completed by the scribe as actions are taken. Times are local and recorded to the minute. Incident reference from PLN-IR-001: recorded in the incident log header.</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4580"/>
        <w:gridCol w:w="1559"/>
        <w:gridCol w:w="974"/>
        <w:gridCol w:w="2146"/>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58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Done by</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c>
          <w:tcPr>
            <w:tcW w:type="dxa" w:w="21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Notes</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Incident declared; incident log and decision log opened; scribe assigned</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Out-of-band channel in use; corporate email and chat no longer used for the incident</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Affected systems isolated from the network and left powered on</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Segment or site isolation applied where multiple systems affected</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Internet disconnection decision made and recorded (disconnected or not, with reason)</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Backup jobs suspended; online repositories disconnected; backup console locked</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VPN, remote desktop gateways and remote support tools disabled</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Ransom notes photographed and preserved; no links opened; no contact made</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Volatile logs exported (firewall, VPN, identity provider) to isolated storage</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Insurer notified through the claims route; claim reference recorded</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Legal counsel notified</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Executive sponsor briefed; next briefing time set</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4580"/>
            <w:shd w:fill="FFFFFF" w:color="auto" w:val="clear"/>
            <w:tcMar>
              <w:top w:type="dxa" w:w="70"/>
              <w:left w:type="dxa" w:w="100"/>
              <w:bottom w:type="dxa" w:w="70"/>
              <w:right w:type="dxa" w:w="100"/>
            </w:tcMar>
            <w:vAlign w:val="top"/>
          </w:tcPr>
          <w:p>
            <w:pPr>
              <w:spacing w:after="0" w:before="0" w:line="252"/>
            </w:pPr>
            <w:r>
              <w:rPr>
                <w:sz w:val="17"/>
                <w:szCs w:val="17"/>
              </w:rPr>
              <w:t xml:space="preserve">Staff holding message issued</w:t>
            </w:r>
          </w:p>
        </w:tc>
        <w:tc>
          <w:tcPr>
            <w:tcW w:type="dxa" w:w="1559"/>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14</w:t>
            </w:r>
          </w:p>
        </w:tc>
        <w:tc>
          <w:tcPr>
            <w:tcW w:type="dxa" w:w="4580"/>
            <w:shd w:fill="F2F4F6" w:color="auto" w:val="clear"/>
            <w:tcMar>
              <w:top w:type="dxa" w:w="70"/>
              <w:left w:type="dxa" w:w="100"/>
              <w:bottom w:type="dxa" w:w="70"/>
              <w:right w:type="dxa" w:w="100"/>
            </w:tcMar>
            <w:vAlign w:val="top"/>
          </w:tcPr>
          <w:p>
            <w:pPr>
              <w:spacing w:after="0" w:before="0" w:line="252"/>
            </w:pPr>
            <w:r>
              <w:rPr>
                <w:sz w:val="17"/>
                <w:szCs w:val="17"/>
              </w:rPr>
              <w:t xml:space="preserve">Confirmed: no system wiped, reimaged or powered off without a recorded reason</w:t>
            </w:r>
          </w:p>
        </w:tc>
        <w:tc>
          <w:tcPr>
            <w:tcW w:type="dxa" w:w="1559"/>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9" w:id="1"/>
      <w:r>
        <w:t xml:space="preserve">Appendix B.  Containment checklist</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4873"/>
        <w:gridCol w:w="1461"/>
        <w:gridCol w:w="974"/>
        <w:gridCol w:w="1951"/>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Done by</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reference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Privileged group and role membership exported and compared with approved list</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Accounts created, enabled or changed since earliest compromise date identified</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Unexplained accounts disabled (not deleted)</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Privileged and break-glass passwords reset from a clean workstation</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Service account credentials reset and dependent services updated</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Sessions and refresh tokens revoked for privileged and suspect accounts</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KRBTGT reset, first reset</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KRBTGT reset, second reset, at least 10 hours after the first</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MFA methods, OAuth consents and mail forwarding rules added in the compromise period removed</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Conditional access and sign-in policy changes reviewed and reverted</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Supplier and managed service provider accounts disabled pending confirmation</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Federation and trusts added in the compromise period removed</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Affected segments isolated; default deny between affected and unaffected segments</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14</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Workstation-to-workstation SMB and RDP blocked</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15</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Identity, backup and hypervisor management restricted to clean workstations</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16</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Backup console sign-ins and configuration changes reviewed</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17</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Backup administrator credentials reset; MFA confirmed</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18</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Restore point register completed; sample restore tested in isolation</w:t>
            </w:r>
          </w:p>
        </w:tc>
        <w:tc>
          <w:tcPr>
            <w:tcW w:type="dxa" w:w="1461"/>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19</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Persistence mechanisms recorded (not yet removed)</w:t>
            </w:r>
          </w:p>
        </w:tc>
        <w:tc>
          <w:tcPr>
            <w:tcW w:type="dxa" w:w="1461"/>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0" w:id="1"/>
      <w:r>
        <w:t xml:space="preserve">Appendix C.  Notification tracker</w:t>
      </w:r>
      <w:bookmarkEnd w:id="1"/>
    </w:p>
    <w:p>
      <w:pPr>
        <w:spacing w:after="130" w:line="262"/>
      </w:pPr>
      <w:r>
        <w:t xml:space="preserve">Every notification and every deadline is recorded here. Deadlines for statutory and contractual notifications are entered as counsel identifies them, with the source of the obligation. Status is one of: not started, in progress, made, extended, not required (with counsel's reason).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2339"/>
        <w:gridCol w:w="1754"/>
        <w:gridCol w:w="1559"/>
        <w:gridCol w:w="1561"/>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Party and route</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Deadline and its source</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Notified by, time</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Reference</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Status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Cyber insurer, claims hotline</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Per policy:</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Legal counsel / breach coach</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Within first hour</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Incident response firm</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After insurer consent</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FBI field office: [Name], [Phone]</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Within 24 hours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FBI IC3, ic3.gov</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Within 24 hours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CISA, incident reporting form or (888) 282-0870</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Within 24 hours (voluntary unless CIRCIA applies)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CIRCIA report, if counsel confirms rule in force and organization covered</w:t>
            </w: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Sector regulator:</w:t>
            </w: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State attorneys general or state agencies:</w:t>
            </w: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Affected individuals</w:t>
            </w: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Customers under contract:</w:t>
            </w: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Payment card brands or acquirer</w:t>
            </w: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Suppliers and partners with connected systems</w:t>
            </w: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Board or governing body</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Within 4 hours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1" w:id="1"/>
      <w:r>
        <w:t xml:space="preserve">Appendix D.  Ransom decision record</w:t>
      </w:r>
      <w:bookmarkEnd w:id="1"/>
    </w:p>
    <w:p>
      <w:pPr>
        <w:spacing w:after="130" w:line="262"/>
      </w:pPr>
      <w:r>
        <w:t xml:space="preserve">Completed only if a demand stands after the first 24 hours, or earlier if the executive decision authority convenes. Kept by legal counsel.</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Item</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Record</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Demand received: amount, currency, deadline, channel</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Actor or variant as identified by the incident response firm</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Data theft claimed by actor, and evidence of it from scoping</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Recovery from backup: feasible for which systems, and estimated time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Business impact of that recovery time, from business owners</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Risk to life or safety, if any</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Law enforcement reports made (FBI, IC3, CISA): references and dates</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Law enforcement advice, including on decryptor availability</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Counsel's sanctions screening: result, date, by whom</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Counsel's advice on lawfulness and on notification consequences</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Insurer position on consent and coverage, with name and date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Incident response firm assessment of actor reliability</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Finance lead advice on means and timing</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Options considered and reasons for rejecting each</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Decision: pay or do not pay</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Decision made by, with date and time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Board or governing body informed: date and how</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If paying: negotiator engaged through counsel and insurer; payment reporting obligations confirmed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Outcome: decryptor received and tested; data deletion claimed; further demands</w:t>
            </w:r>
          </w:p>
        </w:tc>
        <w:tc>
          <w:tcPr>
            <w:tcW w:type="dxa" w:w="53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2" w:id="1"/>
      <w:r>
        <w:t xml:space="preserve">Appendix E.  Recovery sequence worksheet</w:t>
      </w:r>
      <w:bookmarkEnd w:id="1"/>
    </w:p>
    <w:p>
      <w:pPr>
        <w:spacing w:after="130" w:line="262"/>
      </w:pPr>
      <w:r>
        <w:t xml:space="preserve">Pre-filled from the critical asset list before an incident (Appendix H), then completed during recovery. One row per system. Method is rebuild or restore, with the reason from Section 13.2. Validated means every item in Section 13.4 is confirmed.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1754"/>
        <w:gridCol w:w="2144"/>
        <w:gridCol w:w="1656"/>
        <w:gridCol w:w="1659"/>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Tier and system</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Depends on</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Method and restore point</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Validated by, date</w:t>
            </w:r>
          </w:p>
        </w:tc>
        <w:tc>
          <w:tcPr>
            <w:tcW w:type="dxa" w:w="16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Accepted by owner, date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0  Clean admin workstations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1  Directory / domain controllers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1  Identity provider configuration</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2  DNS and DHCP</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2  Firewalls and network devices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2  Hypervisors and storage</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2  Backup infrastructure</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2  Endpoint protection and logging</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9"/>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9"/>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3" w:id="1"/>
      <w:r>
        <w:t xml:space="preserve">Appendix F.  Holding statement templates</w:t>
      </w:r>
      <w:bookmarkEnd w:id="1"/>
    </w:p>
    <w:p>
      <w:pPr>
        <w:spacing w:after="130" w:line="262"/>
      </w:pPr>
      <w:r>
        <w:t xml:space="preserve">Each template is approved by legal counsel before an incident and again before release. Bracketed fields are completed at the time of use. No template states cause, attacker identity, whether data was taken or whether a ransom will be paid.</w:t>
      </w:r>
    </w:p>
    <w:p>
      <w:pPr>
        <w:keepNext/>
        <w:spacing w:after="70" w:before="180"/>
      </w:pPr>
      <w:r>
        <w:rPr>
          <w:b/>
          <w:bCs/>
          <w:color w:val="15314B"/>
          <w:sz w:val="19"/>
          <w:szCs w:val="19"/>
        </w:rPr>
        <w:t xml:space="preserve">F.1 Staff message, first hour</w:t>
      </w:r>
    </w:p>
    <w:p>
      <w:pPr>
        <w:spacing w:after="130" w:line="262"/>
      </w:pPr>
      <w:r>
        <w:t xml:space="preserve">[Organization name] is responding to an IT security incident affecting some systems. Until further notice: if a device shows unusual messages or files will not open, unplug its network cable or switch off its Wi-Fi, but do not turn it off. Do not use [Organization name] email or chat to discuss the incident. Do not discuss the incident with anyone outside [Organization name], including on social media. If contacted by anyone claiming to have [Organization name] data, do not reply and report it to [Name] on [Phone]. The next update will be sent at [Time] by text message.</w:t>
      </w:r>
    </w:p>
    <w:p>
      <w:pPr>
        <w:keepNext/>
        <w:spacing w:after="70" w:before="180"/>
      </w:pPr>
      <w:r>
        <w:rPr>
          <w:b/>
          <w:bCs/>
          <w:color w:val="15314B"/>
          <w:sz w:val="19"/>
          <w:szCs w:val="19"/>
        </w:rPr>
        <w:t xml:space="preserve">F.2 Customer and partner holding statement</w:t>
      </w:r>
    </w:p>
    <w:p>
      <w:pPr>
        <w:spacing w:after="130" w:line="262"/>
      </w:pPr>
      <w:r>
        <w:t xml:space="preserve">[Organization name] has identified a cybersecurity incident that is affecting some of its systems. On detecting it, [Organization name] took steps to contain it, engaged external specialists, and notified law enforcement. Some services, including [Service], may be unavailable or delayed. [Organization name] is working to restore them and will provide an update by [Date and time]. Questions can be directed to [Name] at [Contact address].</w:t>
      </w:r>
    </w:p>
    <w:p>
      <w:pPr>
        <w:keepNext/>
        <w:spacing w:after="70" w:before="180"/>
      </w:pPr>
      <w:r>
        <w:rPr>
          <w:b/>
          <w:bCs/>
          <w:color w:val="15314B"/>
          <w:sz w:val="19"/>
          <w:szCs w:val="19"/>
        </w:rPr>
        <w:t xml:space="preserve">F.3 Media holding statement</w:t>
      </w:r>
    </w:p>
    <w:p>
      <w:pPr>
        <w:spacing w:after="130" w:line="262"/>
      </w:pPr>
      <w:r>
        <w:t xml:space="preserve">[Organization name] is responding to a cybersecurity incident affecting some of its systems. It has taken steps to contain the incident, is working with external specialists, and has notified law enforcement. The investigation is ongoing and [Organization name] will not speculate on its cause or extent while it continues. Further information will be provided when it is confirmed. Media contact: [Name], [Contact address].</w:t>
      </w:r>
    </w:p>
    <w:p>
      <w:pPr>
        <w:keepNext/>
        <w:spacing w:after="70" w:before="180"/>
      </w:pPr>
      <w:r>
        <w:rPr>
          <w:b/>
          <w:bCs/>
          <w:color w:val="15314B"/>
          <w:sz w:val="19"/>
          <w:szCs w:val="19"/>
        </w:rPr>
        <w:t xml:space="preserve">F.4 Response to a customer reporting contact from the attacker</w:t>
      </w:r>
    </w:p>
    <w:p>
      <w:pPr>
        <w:spacing w:after="130" w:line="262"/>
      </w:pPr>
      <w:r>
        <w:t xml:space="preserve">Thank you for letting [Organization name] know. Please do not reply to the message, open any links or attachments in it, or make any payment. Please forward it to [Contact address]. [Organization name] is investigating a cybersecurity incident with law enforcement and external specialists and will contact affected parties directly through established channels.</w:t>
      </w:r>
    </w:p>
    <w:p>
      <w:pPr>
        <w:keepNext/>
        <w:spacing w:after="70" w:before="180"/>
      </w:pPr>
      <w:r>
        <w:rPr>
          <w:b/>
          <w:bCs/>
          <w:color w:val="15314B"/>
          <w:sz w:val="19"/>
          <w:szCs w:val="19"/>
        </w:rPr>
        <w:t xml:space="preserve">F.5 Statement record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436"/>
        <w:gridCol w:w="2923"/>
        <w:gridCol w:w="1949"/>
        <w:gridCol w:w="2438"/>
      </w:tblGrid>
      <w:tr>
        <w:trPr>
          <w:cantSplit/>
          <w:tblHeader/>
        </w:trPr>
        <w:tc>
          <w:tcPr>
            <w:tcW w:type="dxa" w:w="243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Statement</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 (incident lead, counsel, executive)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Released by, time</w:t>
            </w:r>
          </w:p>
        </w:tc>
        <w:tc>
          <w:tcPr>
            <w:tcW w:type="dxa" w:w="243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Recipients</w:t>
            </w:r>
          </w:p>
        </w:tc>
      </w:tr>
      <w:tr>
        <w:trPr>
          <w:cantSplit/>
        </w:trPr>
        <w:tc>
          <w:tcPr>
            <w:tcW w:type="dxa" w:w="2436"/>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438"/>
            <w:shd w:fill="FFFFFF" w:color="auto" w:val="clear"/>
            <w:tcMar>
              <w:top w:type="dxa" w:w="70"/>
              <w:left w:type="dxa" w:w="100"/>
              <w:bottom w:type="dxa" w:w="70"/>
              <w:right w:type="dxa" w:w="100"/>
            </w:tcMar>
            <w:vAlign w:val="top"/>
          </w:tcPr>
          <w:p>
            <w:pPr>
              <w:spacing w:after="0" w:before="0" w:line="252"/>
            </w:pPr>
          </w:p>
        </w:tc>
      </w:tr>
      <w:tr>
        <w:trPr>
          <w:cantSplit/>
        </w:trPr>
        <w:tc>
          <w:tcPr>
            <w:tcW w:type="dxa" w:w="2436"/>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438"/>
            <w:shd w:fill="F2F4F6" w:color="auto" w:val="clear"/>
            <w:tcMar>
              <w:top w:type="dxa" w:w="70"/>
              <w:left w:type="dxa" w:w="100"/>
              <w:bottom w:type="dxa" w:w="70"/>
              <w:right w:type="dxa" w:w="100"/>
            </w:tcMar>
            <w:vAlign w:val="top"/>
          </w:tcPr>
          <w:p>
            <w:pPr>
              <w:spacing w:after="0" w:before="0" w:line="252"/>
            </w:pPr>
          </w:p>
        </w:tc>
      </w:tr>
      <w:tr>
        <w:trPr>
          <w:cantSplit/>
        </w:trPr>
        <w:tc>
          <w:tcPr>
            <w:tcW w:type="dxa" w:w="2436"/>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438"/>
            <w:shd w:fill="FFFFFF" w:color="auto" w:val="clear"/>
            <w:tcMar>
              <w:top w:type="dxa" w:w="70"/>
              <w:left w:type="dxa" w:w="100"/>
              <w:bottom w:type="dxa" w:w="70"/>
              <w:right w:type="dxa" w:w="100"/>
            </w:tcMar>
            <w:vAlign w:val="top"/>
          </w:tcPr>
          <w:p>
            <w:pPr>
              <w:spacing w:after="0" w:before="0" w:line="252"/>
            </w:pPr>
          </w:p>
        </w:tc>
      </w:tr>
      <w:tr>
        <w:trPr>
          <w:cantSplit/>
        </w:trPr>
        <w:tc>
          <w:tcPr>
            <w:tcW w:type="dxa" w:w="2436"/>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438"/>
            <w:shd w:fill="F2F4F6" w:color="auto" w:val="clear"/>
            <w:tcMar>
              <w:top w:type="dxa" w:w="70"/>
              <w:left w:type="dxa" w:w="100"/>
              <w:bottom w:type="dxa" w:w="70"/>
              <w:right w:type="dxa" w:w="100"/>
            </w:tcMar>
            <w:vAlign w:val="top"/>
          </w:tcPr>
          <w:p>
            <w:pPr>
              <w:spacing w:after="0" w:before="0" w:line="252"/>
            </w:pPr>
          </w:p>
        </w:tc>
      </w:tr>
      <w:tr>
        <w:trPr>
          <w:cantSplit/>
        </w:trPr>
        <w:tc>
          <w:tcPr>
            <w:tcW w:type="dxa" w:w="2436"/>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438"/>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4" w:id="1"/>
      <w:r>
        <w:t xml:space="preserve">Appendix G.  Decision log</w:t>
      </w:r>
      <w:bookmarkEnd w:id="1"/>
    </w:p>
    <w:p>
      <w:pPr>
        <w:spacing w:after="130" w:line="262"/>
      </w:pPr>
      <w:r>
        <w:t xml:space="preserve">Every decision under this playbook is recorded here within 30 minutes of being made, including decisions not to act. Cross-referenced by number in the incident log under PLN-IR-001.</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364"/>
        <w:gridCol w:w="2923"/>
        <w:gridCol w:w="1754"/>
        <w:gridCol w:w="2144"/>
        <w:gridCol w:w="1561"/>
      </w:tblGrid>
      <w:tr>
        <w:trPr>
          <w:cantSplit/>
          <w:tblHeader/>
        </w:trPr>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 date and time</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Decision and alternatives considered</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Made by and authority (Section 3 or 11)</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Information relied on</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Review or reversal</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65" w:id="1"/>
      <w:r>
        <w:t xml:space="preserve">Appendix H.  Guidance for adoption: preparing before an incident</w:t>
      </w:r>
      <w:bookmarkEnd w:id="1"/>
    </w:p>
    <w:p>
      <w:pPr>
        <w:spacing w:after="130" w:line="262"/>
      </w:pPr>
      <w:r>
        <w:t xml:space="preserve">This appendix is guidance. It describes the preparation without which the procedure above cannot be followed, roughly in order of value. Most of it is inexpensive. All of it is far easier before an incident than during one.</w:t>
      </w:r>
    </w:p>
    <w:p>
      <w:pPr>
        <w:keepNext/>
        <w:spacing w:after="70" w:before="180"/>
      </w:pPr>
      <w:r>
        <w:rPr>
          <w:b/>
          <w:bCs/>
          <w:color w:val="15314B"/>
          <w:sz w:val="19"/>
          <w:szCs w:val="19"/>
        </w:rPr>
        <w:t xml:space="preserve">Sign the decision rights</w:t>
      </w:r>
    </w:p>
    <w:p>
      <w:pPr>
        <w:spacing w:after="130" w:line="262"/>
      </w:pPr>
      <w:r>
        <w:t xml:space="preserve">Take the table in Section 3 to the executive sponsor and get it signed, with names against each role and deputies. Discuss the internet disconnection decision explicitly: what it would cost the business to be offline for an hour, and whether that is worth paying to stop encryption spreading. The answer is usually yes, and the conversation is much better held now.</w:t>
      </w:r>
    </w:p>
    <w:p>
      <w:pPr>
        <w:keepNext/>
        <w:spacing w:after="70" w:before="180"/>
      </w:pPr>
      <w:r>
        <w:rPr>
          <w:b/>
          <w:bCs/>
          <w:color w:val="15314B"/>
          <w:sz w:val="19"/>
          <w:szCs w:val="19"/>
        </w:rPr>
        <w:t xml:space="preserve">Know what the insurance policy requires</w:t>
      </w:r>
    </w:p>
    <w:p>
      <w:pPr>
        <w:spacing w:after="130" w:line="262"/>
      </w:pPr>
      <w:r>
        <w:t xml:space="preserve">Read the cyber policy and call the claims hotline once to confirm the number works. Record the notification deadline, whether panel responders and counsel are mandatory, whether consent is needed before engaging anyone or spending anything, and whether ransom payments are covered. Print the hotline number and the policy number on the incident card. Many organizations discover during an incident that the responder they called is not on the panel and the costs are not covered.</w:t>
      </w:r>
    </w:p>
    <w:p>
      <w:pPr>
        <w:keepNext/>
        <w:spacing w:after="70" w:before="180"/>
      </w:pPr>
      <w:r>
        <w:rPr>
          <w:b/>
          <w:bCs/>
          <w:color w:val="15314B"/>
          <w:sz w:val="19"/>
          <w:szCs w:val="19"/>
        </w:rPr>
        <w:t xml:space="preserve">Test that the backups survive an attacker with admin rights</w:t>
      </w:r>
    </w:p>
    <w:p>
      <w:pPr>
        <w:spacing w:after="130" w:line="262"/>
      </w:pPr>
      <w:r>
        <w:t xml:space="preserve">Ask a simple question of each backup copy: if an attacker held a domain administrator account, could they delete or encrypt it? If the backup server is joined to the domain, the backup console uses directory credentials, or the repository is a network share reachable from production, the answer is probably yes. At least one copy should be offline, immutable, or with a separate provider under separate credentials with MFA. Then restore something from that copy into an isolated network and time it. The restore time is the number that matters in a ransom decision.</w:t>
      </w:r>
    </w:p>
    <w:p>
      <w:pPr>
        <w:keepNext/>
        <w:spacing w:after="70" w:before="180"/>
      </w:pPr>
      <w:r>
        <w:rPr>
          <w:b/>
          <w:bCs/>
          <w:color w:val="15314B"/>
          <w:sz w:val="19"/>
          <w:szCs w:val="19"/>
        </w:rPr>
        <w:t xml:space="preserve">Build the out-of-band channel</w:t>
      </w:r>
    </w:p>
    <w:p>
      <w:pPr>
        <w:spacing w:after="130" w:line="262"/>
      </w:pPr>
      <w:r>
        <w:t xml:space="preserve">Decide how the response team will talk if email, chat and the phone system are down or watched: personal mobile numbers, a group on a messaging service under accounts that do not use corporate sign-in, a conference bridge. Keep the contact list printed and in at least two personal locations. Test it twice a year.</w:t>
      </w:r>
    </w:p>
    <w:p>
      <w:pPr>
        <w:keepNext/>
        <w:spacing w:after="70" w:before="180"/>
      </w:pPr>
      <w:r>
        <w:rPr>
          <w:b/>
          <w:bCs/>
          <w:color w:val="15314B"/>
          <w:sz w:val="19"/>
          <w:szCs w:val="19"/>
        </w:rPr>
        <w:t xml:space="preserve">Prepare clean administration</w:t>
      </w:r>
    </w:p>
    <w:p>
      <w:pPr>
        <w:spacing w:after="130" w:line="262"/>
      </w:pPr>
      <w:r>
        <w:t xml:space="preserve">Keep at least one administrative workstation that is not joined to the domain, is kept updated, and is stored disconnected, so that identity resets in the first hours can be done from a device the attacker has never touched. Hold break-glass credentials for the identity provider and the backup system offline, sealed and logged.</w:t>
      </w:r>
    </w:p>
    <w:p>
      <w:pPr>
        <w:keepNext/>
        <w:spacing w:after="70" w:before="180"/>
      </w:pPr>
      <w:r>
        <w:rPr>
          <w:b/>
          <w:bCs/>
          <w:color w:val="15314B"/>
          <w:sz w:val="19"/>
          <w:szCs w:val="19"/>
        </w:rPr>
        <w:t xml:space="preserve">Write down the critical asset list and its dependencies</w:t>
      </w:r>
    </w:p>
    <w:p>
      <w:pPr>
        <w:spacing w:after="130" w:line="262"/>
      </w:pPr>
      <w:r>
        <w:t xml:space="preserve">List the systems the business cannot run without, in priority order, with what each depends on: which need the directory, which need DNS, which need a particular database. Pre-fill Appendix E from it. This is the single document most often missing when recovery starts.</w:t>
      </w:r>
    </w:p>
    <w:p>
      <w:pPr>
        <w:keepNext/>
        <w:spacing w:after="70" w:before="180"/>
      </w:pPr>
      <w:r>
        <w:rPr>
          <w:b/>
          <w:bCs/>
          <w:color w:val="15314B"/>
          <w:sz w:val="19"/>
          <w:szCs w:val="19"/>
        </w:rPr>
        <w:t xml:space="preserve">Know where the logs are and how long they last</w:t>
      </w:r>
    </w:p>
    <w:p>
      <w:pPr>
        <w:spacing w:after="130" w:line="262"/>
      </w:pPr>
      <w:r>
        <w:t xml:space="preserve">For firewalls, VPN, the identity provider, endpoint protection and email, record where the logs are, who can export them and how long they are kept. Where retention is short, extend it or forward logs to central storage. If logs do not go back to the attacker's arrival, the question of whether data was taken may never be answered, and counsel will then have to assume the worst.</w:t>
      </w:r>
    </w:p>
    <w:p>
      <w:pPr>
        <w:keepNext/>
        <w:spacing w:after="70" w:before="180"/>
      </w:pPr>
      <w:r>
        <w:rPr>
          <w:b/>
          <w:bCs/>
          <w:color w:val="15314B"/>
          <w:sz w:val="19"/>
          <w:szCs w:val="19"/>
        </w:rPr>
        <w:t xml:space="preserve">Brief the staff</w:t>
      </w:r>
    </w:p>
    <w:p>
      <w:pPr>
        <w:spacing w:after="130" w:line="262"/>
      </w:pPr>
      <w:r>
        <w:t xml:space="preserve">Give every member of staff the one instruction in Section 5.1: unplug it, do not turn it off, call this number. Put it on a card, on the intranet and in onboarding.</w:t>
      </w:r>
    </w:p>
    <w:p>
      <w:pPr>
        <w:keepNext/>
        <w:spacing w:after="70" w:before="180"/>
      </w:pPr>
      <w:r>
        <w:rPr>
          <w:b/>
          <w:bCs/>
          <w:color w:val="15314B"/>
          <w:sz w:val="19"/>
          <w:szCs w:val="19"/>
        </w:rPr>
        <w:t xml:space="preserve">Rehearse</w:t>
      </w:r>
    </w:p>
    <w:p>
      <w:pPr>
        <w:spacing w:after="130" w:line="262"/>
      </w:pPr>
      <w:r>
        <w:t xml:space="preserve">Run a tabletop exercise at least once a year with the executive decision authority in the room. Use a realistic scenario: encryption discovered on a Saturday, backups partly affected, a leak site posting samples on Tuesday, a demand with a deadline. The exercise is where gaps in the decision rights, the insurer requirements and the recovery order surface at no cost. Record it; it is the evidence in Section 17.</w:t>
      </w:r>
    </w:p>
    <w:p>
      <w:pPr>
        <w:keepNext/>
        <w:spacing w:after="70" w:before="180"/>
      </w:pPr>
      <w:r>
        <w:rPr>
          <w:b/>
          <w:bCs/>
          <w:color w:val="15314B"/>
          <w:sz w:val="19"/>
          <w:szCs w:val="19"/>
        </w:rPr>
        <w:t xml:space="preserve">Pre-agree the holding statements</w:t>
      </w:r>
    </w:p>
    <w:p>
      <w:pPr>
        <w:spacing w:after="130" w:line="262"/>
      </w:pPr>
      <w:r>
        <w:t xml:space="preserve">Have counsel approve the templates in Appendix F now, so that only the bracketed fields need checking during an incident.</w:t>
      </w:r>
    </w:p>
    <w:p>
      <w:pPr>
        <w:pStyle w:val="Heading1"/>
        <w:keepNext/>
        <w:keepLines/>
        <w:pageBreakBefore/>
        <w:pBdr>
          <w:bottom w:val="single" w:color="D4DAE0" w:sz="4" w:space="4"/>
        </w:pBdr>
        <w:spacing w:after="140" w:before="300"/>
      </w:pPr>
      <w:bookmarkStart w:name="_RG0066" w:id="1"/>
      <w:r>
        <w:t xml:space="preserve">Glossary</w:t>
      </w:r>
      <w:bookmarkEnd w:id="1"/>
    </w:p>
    <w:p>
      <w:pPr>
        <w:pStyle w:val="Heading2"/>
        <w:keepNext/>
        <w:keepLines/>
        <w:spacing w:after="90" w:before="220"/>
      </w:pPr>
      <w:bookmarkStart w:name="_RG0067" w:id="1"/>
      <w:r>
        <w:t xml:space="preserve">Acronyms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7602"/>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Acronym</w:t>
            </w:r>
          </w:p>
        </w:tc>
        <w:tc>
          <w:tcPr>
            <w:tcW w:type="dxa" w:w="760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Meaning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CIRCIA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Cyber Incident Reporting for Critical Infrastructure Act of 2022</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CISA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Cybersecurity and Infrastructure Security Agency</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CSF</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Cybersecurity Framework (NIST)</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DHCP</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Dynamic Host Configuration Protocol</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DNS</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Domain Name System</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FBI</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Federal Bureau of Investigation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IC3</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Internet Crime Complaint Center</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ISAC</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Information Sharing and Analysis Center</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KRBTGT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The Active Directory account whose key signs Kerberos ticket-granting tickets</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MFA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Multi-factor authentication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MS-ISAC</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Multi-State Information Sharing and Analysis Center</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NIST</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National Institute of Standards and Technology</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NSA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National Security Agency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OAuth</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Open Authorization, a standard for delegated access to applications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OFAC</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Office of Foreign Assets Control, U.S. Department of the Treasury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RDP</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Remote Desktop Protocol</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SMB</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Server Message Block, the Windows file sharing protocol</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VLAN</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Virtual local area network</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VPN</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Virtual private network</w:t>
            </w:r>
          </w:p>
        </w:tc>
      </w:tr>
    </w:tbl>
    <w:p>
      <w:pPr>
        <w:spacing w:after="120" w:line="120"/>
      </w:pPr>
      <w:r>
        <w:rPr>
          <w:sz w:val="4"/>
          <w:szCs w:val="4"/>
        </w:rPr>
        <w:t xml:space="preserve"/>
      </w:r>
    </w:p>
    <w:p>
      <w:pPr>
        <w:pStyle w:val="Heading2"/>
        <w:keepNext/>
        <w:keepLines/>
        <w:spacing w:after="90" w:before="220"/>
      </w:pPr>
      <w:bookmarkStart w:name="_RG0068" w:id="1"/>
      <w:r>
        <w:t xml:space="preserve">Definitions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7213"/>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Term</w:t>
            </w:r>
          </w:p>
        </w:tc>
        <w:tc>
          <w:tcPr>
            <w:tcW w:type="dxa" w:w="72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Definition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Breach coach</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lawyer or law firm, often appointed through the cyber insurer, who coordinates the legal response to a data incident, engages responders under privilege where possible and advises on notification.</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Clean administrative workstation</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device used for privileged administration during the response that was not exposed to the compromised environment, so that credentials entered on it are not captured.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Double extortion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ransomware attack in which data is both encrypted and copied out, with the threat to publish it used as a second source of pressure to pay.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Earliest confirmed compromise date</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earliest date for which scoping finds evidence of attacker activity. It sets the window for account review, the choice of restore point and the scope of possible data theft.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Executive decision authority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person entitled under this playbook to decide on ransom payment and external statements, as named in Section 11.1.</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Immutable backup</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backup copy that cannot be altered or deleted before its retention period ends, including by an administrator.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Isolation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Disconnecting a system from the network while leaving it powered on, by unplugging, disabling wireless, or using endpoint isolation in security tooling.</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Out-of-band channel</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means of communication that does not depend on, and cannot be observed through, the organization's affected systems.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Patient zero</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first system or account through which the attacker gained access.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Persistence</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Any mechanism an attacker installs or creates to regain access after being removed, such as a rogue account, a scheduled task or a remote access tool.</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Pre-authorization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Written authority, granted before an incident, for a named role to take a defined action when a defined trigger is met, without seeking further approval.</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Restore point</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specific backup copy from which a system or data set can be recovered.</w:t>
            </w:r>
          </w:p>
        </w:tc>
      </w:tr>
    </w:tbl>
    <w:p>
      <w:pPr>
        <w:spacing w:after="120" w:line="120"/>
      </w:pPr>
      <w:r>
        <w:rPr>
          <w:sz w:val="4"/>
          <w:szCs w:val="4"/>
        </w:rPr>
        <w:t xml:space="preserve"/>
      </w:r>
    </w:p>
    <w:p>
      <w:pPr>
        <w:pStyle w:val="Heading1"/>
        <w:keepNext/>
        <w:keepLines/>
        <w:pBdr>
          <w:bottom w:val="single" w:color="D4DAE0" w:sz="4" w:space="4"/>
        </w:pBdr>
        <w:spacing w:after="140" w:before="300"/>
      </w:pPr>
      <w:bookmarkStart w:name="_RG0069" w:id="1"/>
      <w:r>
        <w:t xml:space="preserve">Record of changes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754"/>
        <w:gridCol w:w="4483"/>
        <w:gridCol w:w="2340"/>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 of change</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1.0</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October 2026</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First issue.</w:t>
            </w: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sectPr>
      <w:headerReference w:type="default" r:id="rId7"/>
      <w:headerReference w:type="first" r:id="rId8"/>
      <w:footerReference w:type="default" r:id="rId9"/>
      <w:footerReference w:type="first" r:id="rId10"/>
      <w:pgSz w:w="11906" w:h="16838" w:orient="portrait"/>
      <w:pgMar w:top="1080" w:right="1080" w:bottom="100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PRO-RAN-001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PRO-RAN-001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color w:val="60686F"/>
        <w:sz w:val="14"/>
        <w:szCs w:val="14"/>
      </w:rPr>
      <w:t xml:space="preserve">[Company Logo]</w:t>
    </w:r>
    <w:r>
      <w:rPr>
        <w:color w:val="60686F"/>
        <w:sz w:val="14"/>
        <w:szCs w:val="14"/>
      </w:rPr>
      <w:t xml:space="preserve">   ·   </w:t>
    </w:r>
    <w:r>
      <w:rPr>
        <w:color w:val="60686F"/>
        <w:sz w:val="14"/>
        <w:szCs w:val="14"/>
      </w:rPr>
      <w:t xml:space="preserve">PRO-RAN-001</w:t>
    </w:r>
    <w:r>
      <w:rPr>
        <w:color w:val="60686F"/>
        <w:sz w:val="14"/>
        <w:szCs w:val="14"/>
      </w:rPr>
      <w:t xml:space="preserve">   ·   </w:t>
    </w:r>
    <w:r>
      <w:rPr>
        <w:color w:val="60686F"/>
        <w:sz w:val="14"/>
        <w:szCs w:val="14"/>
      </w:rPr>
      <w:t xml:space="preserve">Ransomware Response Playbook</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Internal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i/>
        <w:iCs/>
        <w:color w:val="60686F"/>
        <w:sz w:val="14"/>
        <w:szCs w:val="14"/>
      </w:rPr>
      <w:t xml:space="preserve">This document and all information contained herein is the property of [Organization Name] and is intended for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A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GFooter">
    <w:name w:val="RG Footer"/>
    <w:basedOn w:val="Normal"/>
    <w:rPr>
      <w:rFonts w:ascii="Arial" w:cs="Arial" w:eastAsia="Arial" w:hAnsi="Arial"/>
      <w:color w:val="60686F"/>
      <w:sz w:val="14"/>
      <w:szCs w:val="14"/>
    </w:rPr>
  </w:style>
  <w:style w:type="paragraph" w:styleId="Heading1">
    <w:name w:val="Heading 1"/>
    <w:basedOn w:val="Normal"/>
    <w:next w:val="Normal"/>
    <w:qFormat/>
    <w:pPr>
      <w:outlineLvl w:val="0"/>
    </w:pPr>
    <w:rPr>
      <w:rFonts w:ascii="Arial" w:cs="Arial" w:eastAsia="Arial" w:hAnsi="Arial"/>
      <w:b/>
      <w:bCs/>
      <w:color w:val="15314B"/>
      <w:sz w:val="27"/>
      <w:szCs w:val="27"/>
    </w:rPr>
  </w:style>
  <w:style w:type="paragraph" w:styleId="Heading2">
    <w:name w:val="Heading 2"/>
    <w:basedOn w:val="Normal"/>
    <w:next w:val="Normal"/>
    <w:qFormat/>
    <w:pPr>
      <w:outlineLvl w:val="1"/>
    </w:pPr>
    <w:rPr>
      <w:rFonts w:ascii="Arial" w:cs="Arial" w:eastAsia="Arial" w:hAnsi="Arial"/>
      <w:b/>
      <w:bCs/>
      <w:color w:val="2E5C7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Ransomware Response Playbook</dc:title>
  <dc:subject>PRO-RAN-001</dc:subject>
  <dc:creator>RootGuard Security</dc:creator>
  <dc:description>Ransomware Response Playbook. What to do, in what order, and who decides, until recovery is verified. Free to use and to share.</dc:description>
  <cp:lastModifiedBy>RootGuard Security</cp:lastModifiedBy>
  <cp:revision>1</cp:revision>
  <dcterms:created xsi:type="dcterms:W3CDTF">2026-10-16T13:28:40.631Z</dcterms:created>
  <dcterms:modified xsi:type="dcterms:W3CDTF">2026-10-16T13:28:40.631Z</dcterms:modified>
</cp:coreProperties>
</file>

<file path=docProps/custom.xml><?xml version="1.0" encoding="utf-8"?>
<Properties xmlns="http://schemas.openxmlformats.org/officeDocument/2006/custom-properties" xmlns:vt="http://schemas.openxmlformats.org/officeDocument/2006/docPropsVTypes"/>
</file>