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6600"/>
        <w:tblBorders>
          <w:top w:val="none" w:color="auto" w:sz="0"/>
          <w:left w:val="none" w:color="auto" w:sz="0"/>
          <w:bottom w:val="none" w:color="auto" w:sz="0"/>
          <w:right w:val="none" w:color="auto" w:sz="0"/>
          <w:insideH w:val="none" w:color="auto" w:sz="0"/>
          <w:insideV w:val="none" w:color="auto" w:sz="0"/>
        </w:tblBorders>
      </w:tblPr>
      <w:tblGrid>
        <w:gridCol w:w="6600"/>
      </w:tblGrid>
      <w:tr>
        <w:tc>
          <w:tcPr>
            <w:tcW w:type="dxa" w:w="6600"/>
            <w:shd w:fill="15314B" w:color="auto" w:val="clear"/>
            <w:tcMar>
              <w:top w:type="dxa" w:w="500"/>
              <w:left w:type="dxa" w:w="360"/>
              <w:bottom w:type="dxa" w:w="420"/>
              <w:right w:type="dxa" w:w="360"/>
            </w:tcMar>
          </w:tcPr>
          <w:p>
            <w:pPr>
              <w:spacing w:after="420"/>
            </w:pPr>
            <w:r>
              <w:rPr>
                <w:color w:val="9DB0C0"/>
                <w:sz w:val="16"/>
                <w:szCs w:val="16"/>
              </w:rPr>
              <w:t xml:space="preserve">[Company Logo]</w:t>
            </w:r>
          </w:p>
          <w:p>
            <w:pPr>
              <w:spacing w:after="140"/>
            </w:pPr>
            <w:r>
              <w:rPr>
                <w:b/>
                <w:bCs/>
                <w:color w:val="FFFFFF"/>
                <w:sz w:val="46"/>
                <w:szCs w:val="46"/>
              </w:rPr>
              <w:t xml:space="preserve">Phishing Reporting Route Test</w:t>
            </w:r>
          </w:p>
          <w:p>
            <w:pPr>
              <w:spacing w:after="300"/>
            </w:pPr>
            <w:r>
              <w:rPr>
                <w:color w:val="C6D4DF"/>
                <w:sz w:val="22"/>
                <w:szCs w:val="22"/>
              </w:rPr>
              <w:t xml:space="preserve">Prove that a reported phishing email reaches somebody who acts on it</w:t>
            </w:r>
          </w:p>
          <w:p>
            <w:pPr>
              <w:pBdr>
                <w:bottom w:val="single" w:color="C2551D" w:sz="16" w:space="0"/>
              </w:pBdr>
              <w:spacing w:after="230"/>
            </w:pPr>
          </w:p>
          <w:p>
            <w:r>
              <w:rPr>
                <w:b/>
                <w:bCs/>
                <w:color w:val="FFFFFF"/>
              </w:rPr>
              <w:t xml:space="preserve">[Organization Name]</w:t>
            </w:r>
            <w:r>
              <w:t xml:space="preserve">          </w:t>
            </w:r>
            <w:r>
              <w:rPr>
                <w:color w:val="9DB0C0"/>
                <w:sz w:val="18"/>
                <w:szCs w:val="18"/>
              </w:rPr>
              <w:t xml:space="preserve">Classification: Internal Use</w:t>
            </w:r>
          </w:p>
        </w:tc>
      </w:tr>
    </w:tbl>
    <w:p>
      <w:pPr>
        <w:spacing w:after="420"/>
      </w:pPr>
    </w:p>
    <w:tbl>
      <w:tblPr>
        <w:tblW w:type="dxa" w:w="6600"/>
        <w:tblBorders>
          <w:top w:val="single" w:color="D4DAE0" w:sz="4"/>
          <w:left w:val="single" w:color="D4DAE0" w:sz="4"/>
          <w:bottom w:val="single" w:color="D4DAE0" w:sz="4"/>
          <w:right w:val="single" w:color="D4DAE0" w:sz="4"/>
          <w:insideH w:val="single" w:color="D4DAE0" w:sz="4"/>
          <w:insideV w:val="single" w:color="D4DAE0" w:sz="4"/>
        </w:tblBorders>
      </w:tblPr>
      <w:tblGrid>
        <w:gridCol w:w="1900"/>
        <w:gridCol w:w="4700"/>
      </w:tblGrid>
      <w:tr>
        <w:tc>
          <w:tcPr>
            <w:tcW w:type="dxa" w:w="190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470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Detail</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Document ID</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PRO-PHR-001</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Document title</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Phishing Reporting Route Test</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Version</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1.0</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Status</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[Draft / Approved]</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Effective date</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[Effective Date]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Document owner</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[Owner Name, Role]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Approved by</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[Approver Name, Role]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Approval date</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[Date]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Next review</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[Date, no more than 12 months from effective date]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Classification</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Internal Use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Distribution</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[Who this is issued to]</w:t>
            </w:r>
          </w:p>
        </w:tc>
      </w:tr>
    </w:tbl>
    <w:p>
      <w:pPr>
        <w:pBdr>
          <w:top w:val="single" w:color="D4DAE0" w:sz="4" w:space="8"/>
        </w:pBdr>
        <w:spacing w:after="0" w:before="700" w:line="252"/>
      </w:pPr>
      <w:r>
        <w:rPr>
          <w:i/>
          <w:iCs/>
          <w:color w:val="60686F"/>
          <w:sz w:val="16"/>
          <w:szCs w:val="16"/>
        </w:rPr>
        <w:t xml:space="preserve">This document and all information contained in it is the property of [Organization Name]. Replace every bracketed field before issue, delete any clause that does not apply to your organization, and have it approved by a person with authority to do so. An unapproved, undated policy is not a control.</w:t>
      </w:r>
    </w:p>
    <w:p>
      <w:pPr>
        <w:pageBreakBefore/>
        <w:spacing w:after="160"/>
      </w:pPr>
      <w:r>
        <w:rPr>
          <w:b/>
          <w:bCs/>
          <w:color w:val="15314B"/>
          <w:sz w:val="27"/>
          <w:szCs w:val="27"/>
        </w:rPr>
        <w:t xml:space="preserve">Table of Contents</w:t>
      </w:r>
    </w:p>
    <w:p>
      <w:pPr>
        <w:pStyle w:val="TOC1"/>
        <w:tabs>
          <w:tab w:val="right" w:leader="dot" w:pos="9746"/>
        </w:tabs>
        <w:spacing w:after="12" w:line="240" w:lineRule="auto"/>
        <w:rPr>
          <w:noProof/>
        </w:rPr>
      </w:pPr>
      <w:r>
        <w:rPr>
          <w:noProof/>
        </w:rPr>
        <w:fldChar w:fldCharType="begin"/>
      </w:r>
      <w:r>
        <w:rPr>
          <w:noProof/>
        </w:rPr>
        <w:instrText xml:space="preserve"> TOC \o "1-2" \h \z \u </w:instrText>
      </w:r>
      <w:r>
        <w:rPr>
          <w:noProof/>
        </w:rPr>
        <w:fldChar w:fldCharType="separate"/>
      </w:r>
      <w:hyperlink w:anchor="_RG0001" w:history="1">
        <w:r>
          <w:rPr>
            <w:noProof/>
            <w:sz w:val="17"/>
          </w:rPr>
          <w:t xml:space="preserve">Executive summary</w:t>
        </w:r>
        <w:r>
          <w:rPr>
            <w:noProof/>
            <w:sz w:val="17"/>
          </w:rPr>
          <w:tab/>
        </w:r>
        <w:r>
          <w:rPr>
            <w:noProof/>
          </w:rPr>
          <w:fldChar w:fldCharType="begin"/>
        </w:r>
        <w:r>
          <w:rPr>
            <w:noProof/>
          </w:rPr>
          <w:instrText xml:space="preserve"> PAGEREF _RG0001 \h </w:instrText>
        </w:r>
        <w:r>
          <w:rPr>
            <w:noProof/>
          </w:rPr>
          <w:fldChar w:fldCharType="separate"/>
        </w:r>
        <w:r>
          <w:rPr>
            <w:noProof/>
            <w:sz w:val="17"/>
          </w:rPr>
          <w:t>3</w:t>
        </w:r>
        <w:r>
          <w:rPr>
            <w:noProof/>
          </w:rPr>
          <w:fldChar w:fldCharType="end"/>
        </w:r>
      </w:hyperlink>
    </w:p>
    <w:p>
      <w:pPr>
        <w:pStyle w:val="TOC1"/>
        <w:tabs>
          <w:tab w:val="right" w:leader="dot" w:pos="9746"/>
        </w:tabs>
        <w:spacing w:after="12" w:line="240" w:lineRule="auto"/>
        <w:rPr>
          <w:noProof/>
        </w:rPr>
      </w:pPr>
      <w:hyperlink w:anchor="_RG0002" w:history="1">
        <w:r>
          <w:rPr>
            <w:noProof/>
            <w:sz w:val="17"/>
          </w:rPr>
          <w:t xml:space="preserve">1.  Purpose and scope</w:t>
        </w:r>
        <w:r>
          <w:rPr>
            <w:noProof/>
            <w:sz w:val="17"/>
          </w:rPr>
          <w:tab/>
        </w:r>
        <w:r>
          <w:rPr>
            <w:noProof/>
          </w:rPr>
          <w:fldChar w:fldCharType="begin"/>
        </w:r>
        <w:r>
          <w:rPr>
            <w:noProof/>
          </w:rPr>
          <w:instrText xml:space="preserve"> PAGEREF _RG0002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3" w:history="1">
        <w:r>
          <w:rPr>
            <w:noProof/>
            <w:sz w:val="17"/>
          </w:rPr>
          <w:t xml:space="preserve">1.1  What is measured</w:t>
        </w:r>
        <w:r>
          <w:rPr>
            <w:noProof/>
            <w:sz w:val="17"/>
          </w:rPr>
          <w:tab/>
        </w:r>
        <w:r>
          <w:rPr>
            <w:noProof/>
          </w:rPr>
          <w:fldChar w:fldCharType="begin"/>
        </w:r>
        <w:r>
          <w:rPr>
            <w:noProof/>
          </w:rPr>
          <w:instrText xml:space="preserve"> PAGEREF _RG0003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4" w:history="1">
        <w:r>
          <w:rPr>
            <w:noProof/>
            <w:sz w:val="17"/>
          </w:rPr>
          <w:t xml:space="preserve">1.2  Frequency</w:t>
        </w:r>
        <w:r>
          <w:rPr>
            <w:noProof/>
            <w:sz w:val="17"/>
          </w:rPr>
          <w:tab/>
        </w:r>
        <w:r>
          <w:rPr>
            <w:noProof/>
          </w:rPr>
          <w:fldChar w:fldCharType="begin"/>
        </w:r>
        <w:r>
          <w:rPr>
            <w:noProof/>
          </w:rPr>
          <w:instrText xml:space="preserve"> PAGEREF _RG0004 \h </w:instrText>
        </w:r>
        <w:r>
          <w:rPr>
            <w:noProof/>
          </w:rPr>
          <w:fldChar w:fldCharType="separate"/>
        </w:r>
        <w:r>
          <w:rPr>
            <w:noProof/>
            <w:sz w:val="17"/>
          </w:rPr>
          <w:t>4</w:t>
        </w:r>
        <w:r>
          <w:rPr>
            <w:noProof/>
          </w:rPr>
          <w:fldChar w:fldCharType="end"/>
        </w:r>
      </w:hyperlink>
    </w:p>
    <w:p>
      <w:pPr>
        <w:pStyle w:val="TOC1"/>
        <w:tabs>
          <w:tab w:val="right" w:leader="dot" w:pos="9746"/>
        </w:tabs>
        <w:spacing w:after="12" w:line="240" w:lineRule="auto"/>
        <w:rPr>
          <w:noProof/>
        </w:rPr>
      </w:pPr>
      <w:hyperlink w:anchor="_RG0005" w:history="1">
        <w:r>
          <w:rPr>
            <w:noProof/>
            <w:sz w:val="17"/>
          </w:rPr>
          <w:t xml:space="preserve">2.  Principles</w:t>
        </w:r>
        <w:r>
          <w:rPr>
            <w:noProof/>
            <w:sz w:val="17"/>
          </w:rPr>
          <w:tab/>
        </w:r>
        <w:r>
          <w:rPr>
            <w:noProof/>
          </w:rPr>
          <w:fldChar w:fldCharType="begin"/>
        </w:r>
        <w:r>
          <w:rPr>
            <w:noProof/>
          </w:rPr>
          <w:instrText xml:space="preserve"> PAGEREF _RG0005 \h </w:instrText>
        </w:r>
        <w:r>
          <w:rPr>
            <w:noProof/>
          </w:rPr>
          <w:fldChar w:fldCharType="separate"/>
        </w:r>
        <w:r>
          <w:rPr>
            <w:noProof/>
            <w:sz w:val="17"/>
          </w:rPr>
          <w:t>4</w:t>
        </w:r>
        <w:r>
          <w:rPr>
            <w:noProof/>
          </w:rPr>
          <w:fldChar w:fldCharType="end"/>
        </w:r>
      </w:hyperlink>
    </w:p>
    <w:p>
      <w:pPr>
        <w:pStyle w:val="TOC1"/>
        <w:tabs>
          <w:tab w:val="right" w:leader="dot" w:pos="9746"/>
        </w:tabs>
        <w:spacing w:after="12" w:line="240" w:lineRule="auto"/>
        <w:rPr>
          <w:noProof/>
        </w:rPr>
      </w:pPr>
      <w:hyperlink w:anchor="_RG0006" w:history="1">
        <w:r>
          <w:rPr>
            <w:noProof/>
            <w:sz w:val="17"/>
          </w:rPr>
          <w:t xml:space="preserve">3.  The reporting route</w:t>
        </w:r>
        <w:r>
          <w:rPr>
            <w:noProof/>
            <w:sz w:val="17"/>
          </w:rPr>
          <w:tab/>
        </w:r>
        <w:r>
          <w:rPr>
            <w:noProof/>
          </w:rPr>
          <w:fldChar w:fldCharType="begin"/>
        </w:r>
        <w:r>
          <w:rPr>
            <w:noProof/>
          </w:rPr>
          <w:instrText xml:space="preserve"> PAGEREF _RG0006 \h </w:instrText>
        </w:r>
        <w:r>
          <w:rPr>
            <w:noProof/>
          </w:rPr>
          <w:fldChar w:fldCharType="separate"/>
        </w:r>
        <w:r>
          <w:rPr>
            <w:noProof/>
            <w:sz w:val="17"/>
          </w:rPr>
          <w:t>5</w:t>
        </w:r>
        <w:r>
          <w:rPr>
            <w:noProof/>
          </w:rPr>
          <w:fldChar w:fldCharType="end"/>
        </w:r>
      </w:hyperlink>
    </w:p>
    <w:p>
      <w:pPr>
        <w:pStyle w:val="TOC2"/>
        <w:tabs>
          <w:tab w:val="right" w:leader="dot" w:pos="9746"/>
        </w:tabs>
        <w:spacing w:after="12" w:line="240" w:lineRule="auto"/>
        <w:ind w:left="220"/>
        <w:rPr>
          <w:noProof/>
        </w:rPr>
      </w:pPr>
      <w:hyperlink w:anchor="_RG0007" w:history="1">
        <w:r>
          <w:rPr>
            <w:noProof/>
            <w:sz w:val="17"/>
          </w:rPr>
          <w:t xml:space="preserve">3.1  The hops</w:t>
        </w:r>
        <w:r>
          <w:rPr>
            <w:noProof/>
            <w:sz w:val="17"/>
          </w:rPr>
          <w:tab/>
        </w:r>
        <w:r>
          <w:rPr>
            <w:noProof/>
          </w:rPr>
          <w:fldChar w:fldCharType="begin"/>
        </w:r>
        <w:r>
          <w:rPr>
            <w:noProof/>
          </w:rPr>
          <w:instrText xml:space="preserve"> PAGEREF _RG0007 \h </w:instrText>
        </w:r>
        <w:r>
          <w:rPr>
            <w:noProof/>
          </w:rPr>
          <w:fldChar w:fldCharType="separate"/>
        </w:r>
        <w:r>
          <w:rPr>
            <w:noProof/>
            <w:sz w:val="17"/>
          </w:rPr>
          <w:t>5</w:t>
        </w:r>
        <w:r>
          <w:rPr>
            <w:noProof/>
          </w:rPr>
          <w:fldChar w:fldCharType="end"/>
        </w:r>
      </w:hyperlink>
    </w:p>
    <w:p>
      <w:pPr>
        <w:pStyle w:val="TOC2"/>
        <w:tabs>
          <w:tab w:val="right" w:leader="dot" w:pos="9746"/>
        </w:tabs>
        <w:spacing w:after="12" w:line="240" w:lineRule="auto"/>
        <w:ind w:left="220"/>
        <w:rPr>
          <w:noProof/>
        </w:rPr>
      </w:pPr>
      <w:hyperlink w:anchor="_RG0008" w:history="1">
        <w:r>
          <w:rPr>
            <w:noProof/>
            <w:sz w:val="17"/>
          </w:rPr>
          <w:t xml:space="preserve">3.2  Route requirements</w:t>
        </w:r>
        <w:r>
          <w:rPr>
            <w:noProof/>
            <w:sz w:val="17"/>
          </w:rPr>
          <w:tab/>
        </w:r>
        <w:r>
          <w:rPr>
            <w:noProof/>
          </w:rPr>
          <w:fldChar w:fldCharType="begin"/>
        </w:r>
        <w:r>
          <w:rPr>
            <w:noProof/>
          </w:rPr>
          <w:instrText xml:space="preserve"> PAGEREF _RG0008 \h </w:instrText>
        </w:r>
        <w:r>
          <w:rPr>
            <w:noProof/>
          </w:rPr>
          <w:fldChar w:fldCharType="separate"/>
        </w:r>
        <w:r>
          <w:rPr>
            <w:noProof/>
            <w:sz w:val="17"/>
          </w:rPr>
          <w:t>6</w:t>
        </w:r>
        <w:r>
          <w:rPr>
            <w:noProof/>
          </w:rPr>
          <w:fldChar w:fldCharType="end"/>
        </w:r>
      </w:hyperlink>
    </w:p>
    <w:p>
      <w:pPr>
        <w:pStyle w:val="TOC2"/>
        <w:tabs>
          <w:tab w:val="right" w:leader="dot" w:pos="9746"/>
        </w:tabs>
        <w:spacing w:after="12" w:line="240" w:lineRule="auto"/>
        <w:ind w:left="220"/>
        <w:rPr>
          <w:noProof/>
        </w:rPr>
      </w:pPr>
      <w:hyperlink w:anchor="_RG0009" w:history="1">
        <w:r>
          <w:rPr>
            <w:noProof/>
            <w:sz w:val="17"/>
          </w:rPr>
          <w:t xml:space="preserve">3.3  Triage criteria</w:t>
        </w:r>
        <w:r>
          <w:rPr>
            <w:noProof/>
            <w:sz w:val="17"/>
          </w:rPr>
          <w:tab/>
        </w:r>
        <w:r>
          <w:rPr>
            <w:noProof/>
          </w:rPr>
          <w:fldChar w:fldCharType="begin"/>
        </w:r>
        <w:r>
          <w:rPr>
            <w:noProof/>
          </w:rPr>
          <w:instrText xml:space="preserve"> PAGEREF _RG0009 \h </w:instrText>
        </w:r>
        <w:r>
          <w:rPr>
            <w:noProof/>
          </w:rPr>
          <w:fldChar w:fldCharType="separate"/>
        </w:r>
        <w:r>
          <w:rPr>
            <w:noProof/>
            <w:sz w:val="17"/>
          </w:rPr>
          <w:t>6</w:t>
        </w:r>
        <w:r>
          <w:rPr>
            <w:noProof/>
          </w:rPr>
          <w:fldChar w:fldCharType="end"/>
        </w:r>
      </w:hyperlink>
    </w:p>
    <w:p>
      <w:pPr>
        <w:pStyle w:val="TOC2"/>
        <w:tabs>
          <w:tab w:val="right" w:leader="dot" w:pos="9746"/>
        </w:tabs>
        <w:spacing w:after="12" w:line="240" w:lineRule="auto"/>
        <w:ind w:left="220"/>
        <w:rPr>
          <w:noProof/>
        </w:rPr>
      </w:pPr>
      <w:hyperlink w:anchor="_RG0010" w:history="1">
        <w:r>
          <w:rPr>
            <w:noProof/>
            <w:sz w:val="17"/>
          </w:rPr>
          <w:t xml:space="preserve">3.4  Containment actions and the tools to carry them out</w:t>
        </w:r>
        <w:r>
          <w:rPr>
            <w:noProof/>
            <w:sz w:val="17"/>
          </w:rPr>
          <w:tab/>
        </w:r>
        <w:r>
          <w:rPr>
            <w:noProof/>
          </w:rPr>
          <w:fldChar w:fldCharType="begin"/>
        </w:r>
        <w:r>
          <w:rPr>
            <w:noProof/>
          </w:rPr>
          <w:instrText xml:space="preserve"> PAGEREF _RG0010 \h </w:instrText>
        </w:r>
        <w:r>
          <w:rPr>
            <w:noProof/>
          </w:rPr>
          <w:fldChar w:fldCharType="separate"/>
        </w:r>
        <w:r>
          <w:rPr>
            <w:noProof/>
            <w:sz w:val="17"/>
          </w:rPr>
          <w:t>7</w:t>
        </w:r>
        <w:r>
          <w:rPr>
            <w:noProof/>
          </w:rPr>
          <w:fldChar w:fldCharType="end"/>
        </w:r>
      </w:hyperlink>
    </w:p>
    <w:p>
      <w:pPr>
        <w:pStyle w:val="TOC1"/>
        <w:tabs>
          <w:tab w:val="right" w:leader="dot" w:pos="9746"/>
        </w:tabs>
        <w:spacing w:after="12" w:line="240" w:lineRule="auto"/>
        <w:rPr>
          <w:noProof/>
        </w:rPr>
      </w:pPr>
      <w:hyperlink w:anchor="_RG0011" w:history="1">
        <w:r>
          <w:rPr>
            <w:noProof/>
            <w:sz w:val="17"/>
          </w:rPr>
          <w:t xml:space="preserve">4.  Authorization, scope and ethics</w:t>
        </w:r>
        <w:r>
          <w:rPr>
            <w:noProof/>
            <w:sz w:val="17"/>
          </w:rPr>
          <w:tab/>
        </w:r>
        <w:r>
          <w:rPr>
            <w:noProof/>
          </w:rPr>
          <w:fldChar w:fldCharType="begin"/>
        </w:r>
        <w:r>
          <w:rPr>
            <w:noProof/>
          </w:rPr>
          <w:instrText xml:space="preserve"> PAGEREF _RG0011 \h </w:instrText>
        </w:r>
        <w:r>
          <w:rPr>
            <w:noProof/>
          </w:rPr>
          <w:fldChar w:fldCharType="separate"/>
        </w:r>
        <w:r>
          <w:rPr>
            <w:noProof/>
            <w:sz w:val="17"/>
          </w:rPr>
          <w:t>8</w:t>
        </w:r>
        <w:r>
          <w:rPr>
            <w:noProof/>
          </w:rPr>
          <w:fldChar w:fldCharType="end"/>
        </w:r>
      </w:hyperlink>
    </w:p>
    <w:p>
      <w:pPr>
        <w:pStyle w:val="TOC2"/>
        <w:tabs>
          <w:tab w:val="right" w:leader="dot" w:pos="9746"/>
        </w:tabs>
        <w:spacing w:after="12" w:line="240" w:lineRule="auto"/>
        <w:ind w:left="220"/>
        <w:rPr>
          <w:noProof/>
        </w:rPr>
      </w:pPr>
      <w:hyperlink w:anchor="_RG0012" w:history="1">
        <w:r>
          <w:rPr>
            <w:noProof/>
            <w:sz w:val="17"/>
          </w:rPr>
          <w:t xml:space="preserve">4.1  Authorization</w:t>
        </w:r>
        <w:r>
          <w:rPr>
            <w:noProof/>
            <w:sz w:val="17"/>
          </w:rPr>
          <w:tab/>
        </w:r>
        <w:r>
          <w:rPr>
            <w:noProof/>
          </w:rPr>
          <w:fldChar w:fldCharType="begin"/>
        </w:r>
        <w:r>
          <w:rPr>
            <w:noProof/>
          </w:rPr>
          <w:instrText xml:space="preserve"> PAGEREF _RG0012 \h </w:instrText>
        </w:r>
        <w:r>
          <w:rPr>
            <w:noProof/>
          </w:rPr>
          <w:fldChar w:fldCharType="separate"/>
        </w:r>
        <w:r>
          <w:rPr>
            <w:noProof/>
            <w:sz w:val="17"/>
          </w:rPr>
          <w:t>8</w:t>
        </w:r>
        <w:r>
          <w:rPr>
            <w:noProof/>
          </w:rPr>
          <w:fldChar w:fldCharType="end"/>
        </w:r>
      </w:hyperlink>
    </w:p>
    <w:p>
      <w:pPr>
        <w:pStyle w:val="TOC2"/>
        <w:tabs>
          <w:tab w:val="right" w:leader="dot" w:pos="9746"/>
        </w:tabs>
        <w:spacing w:after="12" w:line="240" w:lineRule="auto"/>
        <w:ind w:left="220"/>
        <w:rPr>
          <w:noProof/>
        </w:rPr>
      </w:pPr>
      <w:hyperlink w:anchor="_RG0013" w:history="1">
        <w:r>
          <w:rPr>
            <w:noProof/>
            <w:sz w:val="17"/>
          </w:rPr>
          <w:t xml:space="preserve">4.2  Scope and exclusions</w:t>
        </w:r>
        <w:r>
          <w:rPr>
            <w:noProof/>
            <w:sz w:val="17"/>
          </w:rPr>
          <w:tab/>
        </w:r>
        <w:r>
          <w:rPr>
            <w:noProof/>
          </w:rPr>
          <w:fldChar w:fldCharType="begin"/>
        </w:r>
        <w:r>
          <w:rPr>
            <w:noProof/>
          </w:rPr>
          <w:instrText xml:space="preserve"> PAGEREF _RG0013 \h </w:instrText>
        </w:r>
        <w:r>
          <w:rPr>
            <w:noProof/>
          </w:rPr>
          <w:fldChar w:fldCharType="separate"/>
        </w:r>
        <w:r>
          <w:rPr>
            <w:noProof/>
            <w:sz w:val="17"/>
          </w:rPr>
          <w:t>8</w:t>
        </w:r>
        <w:r>
          <w:rPr>
            <w:noProof/>
          </w:rPr>
          <w:fldChar w:fldCharType="end"/>
        </w:r>
      </w:hyperlink>
    </w:p>
    <w:p>
      <w:pPr>
        <w:pStyle w:val="TOC2"/>
        <w:tabs>
          <w:tab w:val="right" w:leader="dot" w:pos="9746"/>
        </w:tabs>
        <w:spacing w:after="12" w:line="240" w:lineRule="auto"/>
        <w:ind w:left="220"/>
        <w:rPr>
          <w:noProof/>
        </w:rPr>
      </w:pPr>
      <w:hyperlink w:anchor="_RG0014" w:history="1">
        <w:r>
          <w:rPr>
            <w:noProof/>
            <w:sz w:val="17"/>
          </w:rPr>
          <w:t xml:space="preserve">4.3  White cell and deconfliction</w:t>
        </w:r>
        <w:r>
          <w:rPr>
            <w:noProof/>
            <w:sz w:val="17"/>
          </w:rPr>
          <w:tab/>
        </w:r>
        <w:r>
          <w:rPr>
            <w:noProof/>
          </w:rPr>
          <w:fldChar w:fldCharType="begin"/>
        </w:r>
        <w:r>
          <w:rPr>
            <w:noProof/>
          </w:rPr>
          <w:instrText xml:space="preserve"> PAGEREF _RG0014 \h </w:instrText>
        </w:r>
        <w:r>
          <w:rPr>
            <w:noProof/>
          </w:rPr>
          <w:fldChar w:fldCharType="separate"/>
        </w:r>
        <w:r>
          <w:rPr>
            <w:noProof/>
            <w:sz w:val="17"/>
          </w:rPr>
          <w:t>9</w:t>
        </w:r>
        <w:r>
          <w:rPr>
            <w:noProof/>
          </w:rPr>
          <w:fldChar w:fldCharType="end"/>
        </w:r>
      </w:hyperlink>
    </w:p>
    <w:p>
      <w:pPr>
        <w:pStyle w:val="TOC2"/>
        <w:tabs>
          <w:tab w:val="right" w:leader="dot" w:pos="9746"/>
        </w:tabs>
        <w:spacing w:after="12" w:line="240" w:lineRule="auto"/>
        <w:ind w:left="220"/>
        <w:rPr>
          <w:noProof/>
        </w:rPr>
      </w:pPr>
      <w:hyperlink w:anchor="_RG0015" w:history="1">
        <w:r>
          <w:rPr>
            <w:noProof/>
            <w:sz w:val="17"/>
          </w:rPr>
          <w:t xml:space="preserve">4.4  Ethics rules</w:t>
        </w:r>
        <w:r>
          <w:rPr>
            <w:noProof/>
            <w:sz w:val="17"/>
          </w:rPr>
          <w:tab/>
        </w:r>
        <w:r>
          <w:rPr>
            <w:noProof/>
          </w:rPr>
          <w:fldChar w:fldCharType="begin"/>
        </w:r>
        <w:r>
          <w:rPr>
            <w:noProof/>
          </w:rPr>
          <w:instrText xml:space="preserve"> PAGEREF _RG0015 \h </w:instrText>
        </w:r>
        <w:r>
          <w:rPr>
            <w:noProof/>
          </w:rPr>
          <w:fldChar w:fldCharType="separate"/>
        </w:r>
        <w:r>
          <w:rPr>
            <w:noProof/>
            <w:sz w:val="17"/>
          </w:rPr>
          <w:t>9</w:t>
        </w:r>
        <w:r>
          <w:rPr>
            <w:noProof/>
          </w:rPr>
          <w:fldChar w:fldCharType="end"/>
        </w:r>
      </w:hyperlink>
    </w:p>
    <w:p>
      <w:pPr>
        <w:pStyle w:val="TOC1"/>
        <w:tabs>
          <w:tab w:val="right" w:leader="dot" w:pos="9746"/>
        </w:tabs>
        <w:spacing w:after="12" w:line="240" w:lineRule="auto"/>
        <w:rPr>
          <w:noProof/>
        </w:rPr>
      </w:pPr>
      <w:hyperlink w:anchor="_RG0016" w:history="1">
        <w:r>
          <w:rPr>
            <w:noProof/>
            <w:sz w:val="17"/>
          </w:rPr>
          <w:t xml:space="preserve">5.  The route test: planted report</w:t>
        </w:r>
        <w:r>
          <w:rPr>
            <w:noProof/>
            <w:sz w:val="17"/>
          </w:rPr>
          <w:tab/>
        </w:r>
        <w:r>
          <w:rPr>
            <w:noProof/>
          </w:rPr>
          <w:fldChar w:fldCharType="begin"/>
        </w:r>
        <w:r>
          <w:rPr>
            <w:noProof/>
          </w:rPr>
          <w:instrText xml:space="preserve"> PAGEREF _RG0016 \h </w:instrText>
        </w:r>
        <w:r>
          <w:rPr>
            <w:noProof/>
          </w:rPr>
          <w:fldChar w:fldCharType="separate"/>
        </w:r>
        <w:r>
          <w:rPr>
            <w:noProof/>
            <w:sz w:val="17"/>
          </w:rPr>
          <w:t>9</w:t>
        </w:r>
        <w:r>
          <w:rPr>
            <w:noProof/>
          </w:rPr>
          <w:fldChar w:fldCharType="end"/>
        </w:r>
      </w:hyperlink>
    </w:p>
    <w:p>
      <w:pPr>
        <w:pStyle w:val="TOC2"/>
        <w:tabs>
          <w:tab w:val="right" w:leader="dot" w:pos="9746"/>
        </w:tabs>
        <w:spacing w:after="12" w:line="240" w:lineRule="auto"/>
        <w:ind w:left="220"/>
        <w:rPr>
          <w:noProof/>
        </w:rPr>
      </w:pPr>
      <w:hyperlink w:anchor="_RG0017" w:history="1">
        <w:r>
          <w:rPr>
            <w:noProof/>
            <w:sz w:val="17"/>
          </w:rPr>
          <w:t xml:space="preserve">5.1  Preparation</w:t>
        </w:r>
        <w:r>
          <w:rPr>
            <w:noProof/>
            <w:sz w:val="17"/>
          </w:rPr>
          <w:tab/>
        </w:r>
        <w:r>
          <w:rPr>
            <w:noProof/>
          </w:rPr>
          <w:fldChar w:fldCharType="begin"/>
        </w:r>
        <w:r>
          <w:rPr>
            <w:noProof/>
          </w:rPr>
          <w:instrText xml:space="preserve"> PAGEREF _RG0017 \h </w:instrText>
        </w:r>
        <w:r>
          <w:rPr>
            <w:noProof/>
          </w:rPr>
          <w:fldChar w:fldCharType="separate"/>
        </w:r>
        <w:r>
          <w:rPr>
            <w:noProof/>
            <w:sz w:val="17"/>
          </w:rPr>
          <w:t>9</w:t>
        </w:r>
        <w:r>
          <w:rPr>
            <w:noProof/>
          </w:rPr>
          <w:fldChar w:fldCharType="end"/>
        </w:r>
      </w:hyperlink>
    </w:p>
    <w:p>
      <w:pPr>
        <w:pStyle w:val="TOC2"/>
        <w:tabs>
          <w:tab w:val="right" w:leader="dot" w:pos="9746"/>
        </w:tabs>
        <w:spacing w:after="12" w:line="240" w:lineRule="auto"/>
        <w:ind w:left="220"/>
        <w:rPr>
          <w:noProof/>
        </w:rPr>
      </w:pPr>
      <w:hyperlink w:anchor="_RG0018" w:history="1">
        <w:r>
          <w:rPr>
            <w:noProof/>
            <w:sz w:val="17"/>
          </w:rPr>
          <w:t xml:space="preserve">5.2  Execution</w:t>
        </w:r>
        <w:r>
          <w:rPr>
            <w:noProof/>
            <w:sz w:val="17"/>
          </w:rPr>
          <w:tab/>
        </w:r>
        <w:r>
          <w:rPr>
            <w:noProof/>
          </w:rPr>
          <w:fldChar w:fldCharType="begin"/>
        </w:r>
        <w:r>
          <w:rPr>
            <w:noProof/>
          </w:rPr>
          <w:instrText xml:space="preserve"> PAGEREF _RG0018 \h </w:instrText>
        </w:r>
        <w:r>
          <w:rPr>
            <w:noProof/>
          </w:rPr>
          <w:fldChar w:fldCharType="separate"/>
        </w:r>
        <w:r>
          <w:rPr>
            <w:noProof/>
            <w:sz w:val="17"/>
          </w:rPr>
          <w:t>10</w:t>
        </w:r>
        <w:r>
          <w:rPr>
            <w:noProof/>
          </w:rPr>
          <w:fldChar w:fldCharType="end"/>
        </w:r>
      </w:hyperlink>
    </w:p>
    <w:p>
      <w:pPr>
        <w:pStyle w:val="TOC2"/>
        <w:tabs>
          <w:tab w:val="right" w:leader="dot" w:pos="9746"/>
        </w:tabs>
        <w:spacing w:after="12" w:line="240" w:lineRule="auto"/>
        <w:ind w:left="220"/>
        <w:rPr>
          <w:noProof/>
        </w:rPr>
      </w:pPr>
      <w:hyperlink w:anchor="_RG0019" w:history="1">
        <w:r>
          <w:rPr>
            <w:noProof/>
            <w:sz w:val="17"/>
          </w:rPr>
          <w:t xml:space="preserve">5.3  Out-of-hours test</w:t>
        </w:r>
        <w:r>
          <w:rPr>
            <w:noProof/>
            <w:sz w:val="17"/>
          </w:rPr>
          <w:tab/>
        </w:r>
        <w:r>
          <w:rPr>
            <w:noProof/>
          </w:rPr>
          <w:fldChar w:fldCharType="begin"/>
        </w:r>
        <w:r>
          <w:rPr>
            <w:noProof/>
          </w:rPr>
          <w:instrText xml:space="preserve"> PAGEREF _RG0019 \h </w:instrText>
        </w:r>
        <w:r>
          <w:rPr>
            <w:noProof/>
          </w:rPr>
          <w:fldChar w:fldCharType="separate"/>
        </w:r>
        <w:r>
          <w:rPr>
            <w:noProof/>
            <w:sz w:val="17"/>
          </w:rPr>
          <w:t>10</w:t>
        </w:r>
        <w:r>
          <w:rPr>
            <w:noProof/>
          </w:rPr>
          <w:fldChar w:fldCharType="end"/>
        </w:r>
      </w:hyperlink>
    </w:p>
    <w:p>
      <w:pPr>
        <w:pStyle w:val="TOC2"/>
        <w:tabs>
          <w:tab w:val="right" w:leader="dot" w:pos="9746"/>
        </w:tabs>
        <w:spacing w:after="12" w:line="240" w:lineRule="auto"/>
        <w:ind w:left="220"/>
        <w:rPr>
          <w:noProof/>
        </w:rPr>
      </w:pPr>
      <w:hyperlink w:anchor="_RG0020" w:history="1">
        <w:r>
          <w:rPr>
            <w:noProof/>
            <w:sz w:val="17"/>
          </w:rPr>
          <w:t xml:space="preserve">5.4  Pass criteria and observation limits</w:t>
        </w:r>
        <w:r>
          <w:rPr>
            <w:noProof/>
            <w:sz w:val="17"/>
          </w:rPr>
          <w:tab/>
        </w:r>
        <w:r>
          <w:rPr>
            <w:noProof/>
          </w:rPr>
          <w:fldChar w:fldCharType="begin"/>
        </w:r>
        <w:r>
          <w:rPr>
            <w:noProof/>
          </w:rPr>
          <w:instrText xml:space="preserve"> PAGEREF _RG0020 \h </w:instrText>
        </w:r>
        <w:r>
          <w:rPr>
            <w:noProof/>
          </w:rPr>
          <w:fldChar w:fldCharType="separate"/>
        </w:r>
        <w:r>
          <w:rPr>
            <w:noProof/>
            <w:sz w:val="17"/>
          </w:rPr>
          <w:t>11</w:t>
        </w:r>
        <w:r>
          <w:rPr>
            <w:noProof/>
          </w:rPr>
          <w:fldChar w:fldCharType="end"/>
        </w:r>
      </w:hyperlink>
    </w:p>
    <w:p>
      <w:pPr>
        <w:pStyle w:val="TOC1"/>
        <w:tabs>
          <w:tab w:val="right" w:leader="dot" w:pos="9746"/>
        </w:tabs>
        <w:spacing w:after="12" w:line="240" w:lineRule="auto"/>
        <w:rPr>
          <w:noProof/>
        </w:rPr>
      </w:pPr>
      <w:hyperlink w:anchor="_RG0021" w:history="1">
        <w:r>
          <w:rPr>
            <w:noProof/>
            <w:sz w:val="17"/>
          </w:rPr>
          <w:t xml:space="preserve">6.  The staff-facing simulation</w:t>
        </w:r>
        <w:r>
          <w:rPr>
            <w:noProof/>
            <w:sz w:val="17"/>
          </w:rPr>
          <w:tab/>
        </w:r>
        <w:r>
          <w:rPr>
            <w:noProof/>
          </w:rPr>
          <w:fldChar w:fldCharType="begin"/>
        </w:r>
        <w:r>
          <w:rPr>
            <w:noProof/>
          </w:rPr>
          <w:instrText xml:space="preserve"> PAGEREF _RG0021 \h </w:instrText>
        </w:r>
        <w:r>
          <w:rPr>
            <w:noProof/>
          </w:rPr>
          <w:fldChar w:fldCharType="separate"/>
        </w:r>
        <w:r>
          <w:rPr>
            <w:noProof/>
            <w:sz w:val="17"/>
          </w:rPr>
          <w:t>11</w:t>
        </w:r>
        <w:r>
          <w:rPr>
            <w:noProof/>
          </w:rPr>
          <w:fldChar w:fldCharType="end"/>
        </w:r>
      </w:hyperlink>
    </w:p>
    <w:p>
      <w:pPr>
        <w:pStyle w:val="TOC2"/>
        <w:tabs>
          <w:tab w:val="right" w:leader="dot" w:pos="9746"/>
        </w:tabs>
        <w:spacing w:after="12" w:line="240" w:lineRule="auto"/>
        <w:ind w:left="220"/>
        <w:rPr>
          <w:noProof/>
        </w:rPr>
      </w:pPr>
      <w:hyperlink w:anchor="_RG0022" w:history="1">
        <w:r>
          <w:rPr>
            <w:noProof/>
            <w:sz w:val="17"/>
          </w:rPr>
          <w:t xml:space="preserve">6.1  Scenario design at graded difficulty</w:t>
        </w:r>
        <w:r>
          <w:rPr>
            <w:noProof/>
            <w:sz w:val="17"/>
          </w:rPr>
          <w:tab/>
        </w:r>
        <w:r>
          <w:rPr>
            <w:noProof/>
          </w:rPr>
          <w:fldChar w:fldCharType="begin"/>
        </w:r>
        <w:r>
          <w:rPr>
            <w:noProof/>
          </w:rPr>
          <w:instrText xml:space="preserve"> PAGEREF _RG0022 \h </w:instrText>
        </w:r>
        <w:r>
          <w:rPr>
            <w:noProof/>
          </w:rPr>
          <w:fldChar w:fldCharType="separate"/>
        </w:r>
        <w:r>
          <w:rPr>
            <w:noProof/>
            <w:sz w:val="17"/>
          </w:rPr>
          <w:t>11</w:t>
        </w:r>
        <w:r>
          <w:rPr>
            <w:noProof/>
          </w:rPr>
          <w:fldChar w:fldCharType="end"/>
        </w:r>
      </w:hyperlink>
    </w:p>
    <w:p>
      <w:pPr>
        <w:pStyle w:val="TOC2"/>
        <w:tabs>
          <w:tab w:val="right" w:leader="dot" w:pos="9746"/>
        </w:tabs>
        <w:spacing w:after="12" w:line="240" w:lineRule="auto"/>
        <w:ind w:left="220"/>
        <w:rPr>
          <w:noProof/>
        </w:rPr>
      </w:pPr>
      <w:hyperlink w:anchor="_RG0023" w:history="1">
        <w:r>
          <w:rPr>
            <w:noProof/>
            <w:sz w:val="17"/>
          </w:rPr>
          <w:t xml:space="preserve">6.2  Timing</w:t>
        </w:r>
        <w:r>
          <w:rPr>
            <w:noProof/>
            <w:sz w:val="17"/>
          </w:rPr>
          <w:tab/>
        </w:r>
        <w:r>
          <w:rPr>
            <w:noProof/>
          </w:rPr>
          <w:fldChar w:fldCharType="begin"/>
        </w:r>
        <w:r>
          <w:rPr>
            <w:noProof/>
          </w:rPr>
          <w:instrText xml:space="preserve"> PAGEREF _RG0023 \h </w:instrText>
        </w:r>
        <w:r>
          <w:rPr>
            <w:noProof/>
          </w:rPr>
          <w:fldChar w:fldCharType="separate"/>
        </w:r>
        <w:r>
          <w:rPr>
            <w:noProof/>
            <w:sz w:val="17"/>
          </w:rPr>
          <w:t>12</w:t>
        </w:r>
        <w:r>
          <w:rPr>
            <w:noProof/>
          </w:rPr>
          <w:fldChar w:fldCharType="end"/>
        </w:r>
      </w:hyperlink>
    </w:p>
    <w:p>
      <w:pPr>
        <w:pStyle w:val="TOC2"/>
        <w:tabs>
          <w:tab w:val="right" w:leader="dot" w:pos="9746"/>
        </w:tabs>
        <w:spacing w:after="12" w:line="240" w:lineRule="auto"/>
        <w:ind w:left="220"/>
        <w:rPr>
          <w:noProof/>
        </w:rPr>
      </w:pPr>
      <w:hyperlink w:anchor="_RG0024" w:history="1">
        <w:r>
          <w:rPr>
            <w:noProof/>
            <w:sz w:val="17"/>
          </w:rPr>
          <w:t xml:space="preserve">6.3  Delivery and allowlisting</w:t>
        </w:r>
        <w:r>
          <w:rPr>
            <w:noProof/>
            <w:sz w:val="17"/>
          </w:rPr>
          <w:tab/>
        </w:r>
        <w:r>
          <w:rPr>
            <w:noProof/>
          </w:rPr>
          <w:fldChar w:fldCharType="begin"/>
        </w:r>
        <w:r>
          <w:rPr>
            <w:noProof/>
          </w:rPr>
          <w:instrText xml:space="preserve"> PAGEREF _RG0024 \h </w:instrText>
        </w:r>
        <w:r>
          <w:rPr>
            <w:noProof/>
          </w:rPr>
          <w:fldChar w:fldCharType="separate"/>
        </w:r>
        <w:r>
          <w:rPr>
            <w:noProof/>
            <w:sz w:val="17"/>
          </w:rPr>
          <w:t>12</w:t>
        </w:r>
        <w:r>
          <w:rPr>
            <w:noProof/>
          </w:rPr>
          <w:fldChar w:fldCharType="end"/>
        </w:r>
      </w:hyperlink>
    </w:p>
    <w:p>
      <w:pPr>
        <w:pStyle w:val="TOC2"/>
        <w:tabs>
          <w:tab w:val="right" w:leader="dot" w:pos="9746"/>
        </w:tabs>
        <w:spacing w:after="12" w:line="240" w:lineRule="auto"/>
        <w:ind w:left="220"/>
        <w:rPr>
          <w:noProof/>
        </w:rPr>
      </w:pPr>
      <w:hyperlink w:anchor="_RG0025" w:history="1">
        <w:r>
          <w:rPr>
            <w:noProof/>
            <w:sz w:val="17"/>
          </w:rPr>
          <w:t xml:space="preserve">6.4  Keeping the help desk and responders blind without causing harm</w:t>
        </w:r>
        <w:r>
          <w:rPr>
            <w:noProof/>
            <w:sz w:val="17"/>
          </w:rPr>
          <w:tab/>
        </w:r>
        <w:r>
          <w:rPr>
            <w:noProof/>
          </w:rPr>
          <w:fldChar w:fldCharType="begin"/>
        </w:r>
        <w:r>
          <w:rPr>
            <w:noProof/>
          </w:rPr>
          <w:instrText xml:space="preserve"> PAGEREF _RG0025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26" w:history="1">
        <w:r>
          <w:rPr>
            <w:noProof/>
            <w:sz w:val="17"/>
          </w:rPr>
          <w:t xml:space="preserve">6.5  Data handling</w:t>
        </w:r>
        <w:r>
          <w:rPr>
            <w:noProof/>
            <w:sz w:val="17"/>
          </w:rPr>
          <w:tab/>
        </w:r>
        <w:r>
          <w:rPr>
            <w:noProof/>
          </w:rPr>
          <w:fldChar w:fldCharType="begin"/>
        </w:r>
        <w:r>
          <w:rPr>
            <w:noProof/>
          </w:rPr>
          <w:instrText xml:space="preserve"> PAGEREF _RG0026 \h </w:instrText>
        </w:r>
        <w:r>
          <w:rPr>
            <w:noProof/>
          </w:rPr>
          <w:fldChar w:fldCharType="separate"/>
        </w:r>
        <w:r>
          <w:rPr>
            <w:noProof/>
            <w:sz w:val="17"/>
          </w:rPr>
          <w:t>13</w:t>
        </w:r>
        <w:r>
          <w:rPr>
            <w:noProof/>
          </w:rPr>
          <w:fldChar w:fldCharType="end"/>
        </w:r>
      </w:hyperlink>
    </w:p>
    <w:p>
      <w:pPr>
        <w:pStyle w:val="TOC1"/>
        <w:tabs>
          <w:tab w:val="right" w:leader="dot" w:pos="9746"/>
        </w:tabs>
        <w:spacing w:after="12" w:line="240" w:lineRule="auto"/>
        <w:rPr>
          <w:noProof/>
        </w:rPr>
      </w:pPr>
      <w:hyperlink w:anchor="_RG0027" w:history="1">
        <w:r>
          <w:rPr>
            <w:noProof/>
            <w:sz w:val="17"/>
          </w:rPr>
          <w:t xml:space="preserve">7.  Measurement definitions</w:t>
        </w:r>
        <w:r>
          <w:rPr>
            <w:noProof/>
            <w:sz w:val="17"/>
          </w:rPr>
          <w:tab/>
        </w:r>
        <w:r>
          <w:rPr>
            <w:noProof/>
          </w:rPr>
          <w:fldChar w:fldCharType="begin"/>
        </w:r>
        <w:r>
          <w:rPr>
            <w:noProof/>
          </w:rPr>
          <w:instrText xml:space="preserve"> PAGEREF _RG0027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28" w:history="1">
        <w:r>
          <w:rPr>
            <w:noProof/>
            <w:sz w:val="17"/>
          </w:rPr>
          <w:t xml:space="preserve">7.1  Primary measures</w:t>
        </w:r>
        <w:r>
          <w:rPr>
            <w:noProof/>
            <w:sz w:val="17"/>
          </w:rPr>
          <w:tab/>
        </w:r>
        <w:r>
          <w:rPr>
            <w:noProof/>
          </w:rPr>
          <w:fldChar w:fldCharType="begin"/>
        </w:r>
        <w:r>
          <w:rPr>
            <w:noProof/>
          </w:rPr>
          <w:instrText xml:space="preserve"> PAGEREF _RG0028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29" w:history="1">
        <w:r>
          <w:rPr>
            <w:noProof/>
            <w:sz w:val="17"/>
          </w:rPr>
          <w:t xml:space="preserve">7.2  Secondary measures</w:t>
        </w:r>
        <w:r>
          <w:rPr>
            <w:noProof/>
            <w:sz w:val="17"/>
          </w:rPr>
          <w:tab/>
        </w:r>
        <w:r>
          <w:rPr>
            <w:noProof/>
          </w:rPr>
          <w:fldChar w:fldCharType="begin"/>
        </w:r>
        <w:r>
          <w:rPr>
            <w:noProof/>
          </w:rPr>
          <w:instrText xml:space="preserve"> PAGEREF _RG0029 \h </w:instrText>
        </w:r>
        <w:r>
          <w:rPr>
            <w:noProof/>
          </w:rPr>
          <w:fldChar w:fldCharType="separate"/>
        </w:r>
        <w:r>
          <w:rPr>
            <w:noProof/>
            <w:sz w:val="17"/>
          </w:rPr>
          <w:t>14</w:t>
        </w:r>
        <w:r>
          <w:rPr>
            <w:noProof/>
          </w:rPr>
          <w:fldChar w:fldCharType="end"/>
        </w:r>
      </w:hyperlink>
    </w:p>
    <w:p>
      <w:pPr>
        <w:pStyle w:val="TOC2"/>
        <w:tabs>
          <w:tab w:val="right" w:leader="dot" w:pos="9746"/>
        </w:tabs>
        <w:spacing w:after="12" w:line="240" w:lineRule="auto"/>
        <w:ind w:left="220"/>
        <w:rPr>
          <w:noProof/>
        </w:rPr>
      </w:pPr>
      <w:hyperlink w:anchor="_RG0030" w:history="1">
        <w:r>
          <w:rPr>
            <w:noProof/>
            <w:sz w:val="17"/>
          </w:rPr>
          <w:t xml:space="preserve">7.3  Repeat clickers</w:t>
        </w:r>
        <w:r>
          <w:rPr>
            <w:noProof/>
            <w:sz w:val="17"/>
          </w:rPr>
          <w:tab/>
        </w:r>
        <w:r>
          <w:rPr>
            <w:noProof/>
          </w:rPr>
          <w:fldChar w:fldCharType="begin"/>
        </w:r>
        <w:r>
          <w:rPr>
            <w:noProof/>
          </w:rPr>
          <w:instrText xml:space="preserve"> PAGEREF _RG0030 \h </w:instrText>
        </w:r>
        <w:r>
          <w:rPr>
            <w:noProof/>
          </w:rPr>
          <w:fldChar w:fldCharType="separate"/>
        </w:r>
        <w:r>
          <w:rPr>
            <w:noProof/>
            <w:sz w:val="17"/>
          </w:rPr>
          <w:t>14</w:t>
        </w:r>
        <w:r>
          <w:rPr>
            <w:noProof/>
          </w:rPr>
          <w:fldChar w:fldCharType="end"/>
        </w:r>
      </w:hyperlink>
    </w:p>
    <w:p>
      <w:pPr>
        <w:pStyle w:val="TOC1"/>
        <w:tabs>
          <w:tab w:val="right" w:leader="dot" w:pos="9746"/>
        </w:tabs>
        <w:spacing w:after="12" w:line="240" w:lineRule="auto"/>
        <w:rPr>
          <w:noProof/>
        </w:rPr>
      </w:pPr>
      <w:hyperlink w:anchor="_RG0031" w:history="1">
        <w:r>
          <w:rPr>
            <w:noProof/>
            <w:sz w:val="17"/>
          </w:rPr>
          <w:t xml:space="preserve">8.  Results analysis and where routes break</w:t>
        </w:r>
        <w:r>
          <w:rPr>
            <w:noProof/>
            <w:sz w:val="17"/>
          </w:rPr>
          <w:tab/>
        </w:r>
        <w:r>
          <w:rPr>
            <w:noProof/>
          </w:rPr>
          <w:fldChar w:fldCharType="begin"/>
        </w:r>
        <w:r>
          <w:rPr>
            <w:noProof/>
          </w:rPr>
          <w:instrText xml:space="preserve"> PAGEREF _RG0031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2" w:history="1">
        <w:r>
          <w:rPr>
            <w:noProof/>
            <w:sz w:val="17"/>
          </w:rPr>
          <w:t xml:space="preserve">8.1  Common failure points</w:t>
        </w:r>
        <w:r>
          <w:rPr>
            <w:noProof/>
            <w:sz w:val="17"/>
          </w:rPr>
          <w:tab/>
        </w:r>
        <w:r>
          <w:rPr>
            <w:noProof/>
          </w:rPr>
          <w:fldChar w:fldCharType="begin"/>
        </w:r>
        <w:r>
          <w:rPr>
            <w:noProof/>
          </w:rPr>
          <w:instrText xml:space="preserve"> PAGEREF _RG0032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3" w:history="1">
        <w:r>
          <w:rPr>
            <w:noProof/>
            <w:sz w:val="17"/>
          </w:rPr>
          <w:t xml:space="preserve">8.2  Interpreting the results</w:t>
        </w:r>
        <w:r>
          <w:rPr>
            <w:noProof/>
            <w:sz w:val="17"/>
          </w:rPr>
          <w:tab/>
        </w:r>
        <w:r>
          <w:rPr>
            <w:noProof/>
          </w:rPr>
          <w:fldChar w:fldCharType="begin"/>
        </w:r>
        <w:r>
          <w:rPr>
            <w:noProof/>
          </w:rPr>
          <w:instrText xml:space="preserve"> PAGEREF _RG0033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4" w:history="1">
        <w:r>
          <w:rPr>
            <w:noProof/>
            <w:sz w:val="17"/>
          </w:rPr>
          <w:t xml:space="preserve">8.3  Reporting results</w:t>
        </w:r>
        <w:r>
          <w:rPr>
            <w:noProof/>
            <w:sz w:val="17"/>
          </w:rPr>
          <w:tab/>
        </w:r>
        <w:r>
          <w:rPr>
            <w:noProof/>
          </w:rPr>
          <w:fldChar w:fldCharType="begin"/>
        </w:r>
        <w:r>
          <w:rPr>
            <w:noProof/>
          </w:rPr>
          <w:instrText xml:space="preserve"> PAGEREF _RG0034 \h </w:instrText>
        </w:r>
        <w:r>
          <w:rPr>
            <w:noProof/>
          </w:rPr>
          <w:fldChar w:fldCharType="separate"/>
        </w:r>
        <w:r>
          <w:rPr>
            <w:noProof/>
            <w:sz w:val="17"/>
          </w:rPr>
          <w:t>16</w:t>
        </w:r>
        <w:r>
          <w:rPr>
            <w:noProof/>
          </w:rPr>
          <w:fldChar w:fldCharType="end"/>
        </w:r>
      </w:hyperlink>
    </w:p>
    <w:p>
      <w:pPr>
        <w:pStyle w:val="TOC1"/>
        <w:tabs>
          <w:tab w:val="right" w:leader="dot" w:pos="9746"/>
        </w:tabs>
        <w:spacing w:after="12" w:line="240" w:lineRule="auto"/>
        <w:rPr>
          <w:noProof/>
        </w:rPr>
      </w:pPr>
      <w:hyperlink w:anchor="_RG0035" w:history="1">
        <w:r>
          <w:rPr>
            <w:noProof/>
            <w:sz w:val="17"/>
          </w:rPr>
          <w:t xml:space="preserve">9.  Follow-up and retest</w:t>
        </w:r>
        <w:r>
          <w:rPr>
            <w:noProof/>
            <w:sz w:val="17"/>
          </w:rPr>
          <w:tab/>
        </w:r>
        <w:r>
          <w:rPr>
            <w:noProof/>
          </w:rPr>
          <w:fldChar w:fldCharType="begin"/>
        </w:r>
        <w:r>
          <w:rPr>
            <w:noProof/>
          </w:rPr>
          <w:instrText xml:space="preserve"> PAGEREF _RG0035 \h </w:instrText>
        </w:r>
        <w:r>
          <w:rPr>
            <w:noProof/>
          </w:rPr>
          <w:fldChar w:fldCharType="separate"/>
        </w:r>
        <w:r>
          <w:rPr>
            <w:noProof/>
            <w:sz w:val="17"/>
          </w:rPr>
          <w:t>16</w:t>
        </w:r>
        <w:r>
          <w:rPr>
            <w:noProof/>
          </w:rPr>
          <w:fldChar w:fldCharType="end"/>
        </w:r>
      </w:hyperlink>
    </w:p>
    <w:p>
      <w:pPr>
        <w:pStyle w:val="TOC1"/>
        <w:tabs>
          <w:tab w:val="right" w:leader="dot" w:pos="9746"/>
        </w:tabs>
        <w:spacing w:after="12" w:line="240" w:lineRule="auto"/>
        <w:rPr>
          <w:noProof/>
        </w:rPr>
      </w:pPr>
      <w:hyperlink w:anchor="_RG0036" w:history="1">
        <w:r>
          <w:rPr>
            <w:noProof/>
            <w:sz w:val="17"/>
          </w:rPr>
          <w:t xml:space="preserve">10.  Roles and responsibilities</w:t>
        </w:r>
        <w:r>
          <w:rPr>
            <w:noProof/>
            <w:sz w:val="17"/>
          </w:rPr>
          <w:tab/>
        </w:r>
        <w:r>
          <w:rPr>
            <w:noProof/>
          </w:rPr>
          <w:fldChar w:fldCharType="begin"/>
        </w:r>
        <w:r>
          <w:rPr>
            <w:noProof/>
          </w:rPr>
          <w:instrText xml:space="preserve"> PAGEREF _RG0036 \h </w:instrText>
        </w:r>
        <w:r>
          <w:rPr>
            <w:noProof/>
          </w:rPr>
          <w:fldChar w:fldCharType="separate"/>
        </w:r>
        <w:r>
          <w:rPr>
            <w:noProof/>
            <w:sz w:val="17"/>
          </w:rPr>
          <w:t>17</w:t>
        </w:r>
        <w:r>
          <w:rPr>
            <w:noProof/>
          </w:rPr>
          <w:fldChar w:fldCharType="end"/>
        </w:r>
      </w:hyperlink>
    </w:p>
    <w:p>
      <w:pPr>
        <w:pStyle w:val="TOC1"/>
        <w:tabs>
          <w:tab w:val="right" w:leader="dot" w:pos="9746"/>
        </w:tabs>
        <w:spacing w:after="12" w:line="240" w:lineRule="auto"/>
        <w:rPr>
          <w:noProof/>
        </w:rPr>
      </w:pPr>
      <w:hyperlink w:anchor="_RG0037" w:history="1">
        <w:r>
          <w:rPr>
            <w:noProof/>
            <w:sz w:val="17"/>
          </w:rPr>
          <w:t xml:space="preserve">11.  Evidence of operation</w:t>
        </w:r>
        <w:r>
          <w:rPr>
            <w:noProof/>
            <w:sz w:val="17"/>
          </w:rPr>
          <w:tab/>
        </w:r>
        <w:r>
          <w:rPr>
            <w:noProof/>
          </w:rPr>
          <w:fldChar w:fldCharType="begin"/>
        </w:r>
        <w:r>
          <w:rPr>
            <w:noProof/>
          </w:rPr>
          <w:instrText xml:space="preserve"> PAGEREF _RG0037 \h </w:instrText>
        </w:r>
        <w:r>
          <w:rPr>
            <w:noProof/>
          </w:rPr>
          <w:fldChar w:fldCharType="separate"/>
        </w:r>
        <w:r>
          <w:rPr>
            <w:noProof/>
            <w:sz w:val="17"/>
          </w:rPr>
          <w:t>17</w:t>
        </w:r>
        <w:r>
          <w:rPr>
            <w:noProof/>
          </w:rPr>
          <w:fldChar w:fldCharType="end"/>
        </w:r>
      </w:hyperlink>
    </w:p>
    <w:p>
      <w:pPr>
        <w:pStyle w:val="TOC1"/>
        <w:tabs>
          <w:tab w:val="right" w:leader="dot" w:pos="9746"/>
        </w:tabs>
        <w:spacing w:after="12" w:line="240" w:lineRule="auto"/>
        <w:rPr>
          <w:noProof/>
        </w:rPr>
      </w:pPr>
      <w:hyperlink w:anchor="_RG0038" w:history="1">
        <w:r>
          <w:rPr>
            <w:noProof/>
            <w:sz w:val="17"/>
          </w:rPr>
          <w:t xml:space="preserve">12.  What this document cannot do</w:t>
        </w:r>
        <w:r>
          <w:rPr>
            <w:noProof/>
            <w:sz w:val="17"/>
          </w:rPr>
          <w:tab/>
        </w:r>
        <w:r>
          <w:rPr>
            <w:noProof/>
          </w:rPr>
          <w:fldChar w:fldCharType="begin"/>
        </w:r>
        <w:r>
          <w:rPr>
            <w:noProof/>
          </w:rPr>
          <w:instrText xml:space="preserve"> PAGEREF _RG0038 \h </w:instrText>
        </w:r>
        <w:r>
          <w:rPr>
            <w:noProof/>
          </w:rPr>
          <w:fldChar w:fldCharType="separate"/>
        </w:r>
        <w:r>
          <w:rPr>
            <w:noProof/>
            <w:sz w:val="17"/>
          </w:rPr>
          <w:t>18</w:t>
        </w:r>
        <w:r>
          <w:rPr>
            <w:noProof/>
          </w:rPr>
          <w:fldChar w:fldCharType="end"/>
        </w:r>
      </w:hyperlink>
    </w:p>
    <w:p>
      <w:pPr>
        <w:pStyle w:val="TOC1"/>
        <w:tabs>
          <w:tab w:val="right" w:leader="dot" w:pos="9746"/>
        </w:tabs>
        <w:spacing w:after="12" w:line="240" w:lineRule="auto"/>
        <w:rPr>
          <w:noProof/>
        </w:rPr>
      </w:pPr>
      <w:hyperlink w:anchor="_RG0039" w:history="1">
        <w:r>
          <w:rPr>
            <w:noProof/>
            <w:sz w:val="17"/>
          </w:rPr>
          <w:t xml:space="preserve">Appendix A.  Test authorization form</w:t>
        </w:r>
        <w:r>
          <w:rPr>
            <w:noProof/>
            <w:sz w:val="17"/>
          </w:rPr>
          <w:tab/>
        </w:r>
        <w:r>
          <w:rPr>
            <w:noProof/>
          </w:rPr>
          <w:fldChar w:fldCharType="begin"/>
        </w:r>
        <w:r>
          <w:rPr>
            <w:noProof/>
          </w:rPr>
          <w:instrText xml:space="preserve"> PAGEREF _RG0039 \h </w:instrText>
        </w:r>
        <w:r>
          <w:rPr>
            <w:noProof/>
          </w:rPr>
          <w:fldChar w:fldCharType="separate"/>
        </w:r>
        <w:r>
          <w:rPr>
            <w:noProof/>
            <w:sz w:val="17"/>
          </w:rPr>
          <w:t>20</w:t>
        </w:r>
        <w:r>
          <w:rPr>
            <w:noProof/>
          </w:rPr>
          <w:fldChar w:fldCharType="end"/>
        </w:r>
      </w:hyperlink>
    </w:p>
    <w:p>
      <w:pPr>
        <w:pStyle w:val="TOC1"/>
        <w:tabs>
          <w:tab w:val="right" w:leader="dot" w:pos="9746"/>
        </w:tabs>
        <w:spacing w:after="12" w:line="240" w:lineRule="auto"/>
        <w:rPr>
          <w:noProof/>
        </w:rPr>
      </w:pPr>
      <w:hyperlink w:anchor="_RG0040" w:history="1">
        <w:r>
          <w:rPr>
            <w:noProof/>
            <w:sz w:val="17"/>
          </w:rPr>
          <w:t xml:space="preserve">Appendix B.  Route map worksheet</w:t>
        </w:r>
        <w:r>
          <w:rPr>
            <w:noProof/>
            <w:sz w:val="17"/>
          </w:rPr>
          <w:tab/>
        </w:r>
        <w:r>
          <w:rPr>
            <w:noProof/>
          </w:rPr>
          <w:fldChar w:fldCharType="begin"/>
        </w:r>
        <w:r>
          <w:rPr>
            <w:noProof/>
          </w:rPr>
          <w:instrText xml:space="preserve"> PAGEREF _RG0040 \h </w:instrText>
        </w:r>
        <w:r>
          <w:rPr>
            <w:noProof/>
          </w:rPr>
          <w:fldChar w:fldCharType="separate"/>
        </w:r>
        <w:r>
          <w:rPr>
            <w:noProof/>
            <w:sz w:val="17"/>
          </w:rPr>
          <w:t>21</w:t>
        </w:r>
        <w:r>
          <w:rPr>
            <w:noProof/>
          </w:rPr>
          <w:fldChar w:fldCharType="end"/>
        </w:r>
      </w:hyperlink>
    </w:p>
    <w:p>
      <w:pPr>
        <w:pStyle w:val="TOC1"/>
        <w:tabs>
          <w:tab w:val="right" w:leader="dot" w:pos="9746"/>
        </w:tabs>
        <w:spacing w:after="12" w:line="240" w:lineRule="auto"/>
        <w:rPr>
          <w:noProof/>
        </w:rPr>
      </w:pPr>
      <w:hyperlink w:anchor="_RG0041" w:history="1">
        <w:r>
          <w:rPr>
            <w:noProof/>
            <w:sz w:val="17"/>
          </w:rPr>
          <w:t xml:space="preserve">Appendix C.  Planted report test record</w:t>
        </w:r>
        <w:r>
          <w:rPr>
            <w:noProof/>
            <w:sz w:val="17"/>
          </w:rPr>
          <w:tab/>
        </w:r>
        <w:r>
          <w:rPr>
            <w:noProof/>
          </w:rPr>
          <w:fldChar w:fldCharType="begin"/>
        </w:r>
        <w:r>
          <w:rPr>
            <w:noProof/>
          </w:rPr>
          <w:instrText xml:space="preserve"> PAGEREF _RG0041 \h </w:instrText>
        </w:r>
        <w:r>
          <w:rPr>
            <w:noProof/>
          </w:rPr>
          <w:fldChar w:fldCharType="separate"/>
        </w:r>
        <w:r>
          <w:rPr>
            <w:noProof/>
            <w:sz w:val="17"/>
          </w:rPr>
          <w:t>22</w:t>
        </w:r>
        <w:r>
          <w:rPr>
            <w:noProof/>
          </w:rPr>
          <w:fldChar w:fldCharType="end"/>
        </w:r>
      </w:hyperlink>
    </w:p>
    <w:p>
      <w:pPr>
        <w:pStyle w:val="TOC1"/>
        <w:tabs>
          <w:tab w:val="right" w:leader="dot" w:pos="9746"/>
        </w:tabs>
        <w:spacing w:after="12" w:line="240" w:lineRule="auto"/>
        <w:rPr>
          <w:noProof/>
        </w:rPr>
      </w:pPr>
      <w:hyperlink w:anchor="_RG0042" w:history="1">
        <w:r>
          <w:rPr>
            <w:noProof/>
            <w:sz w:val="17"/>
          </w:rPr>
          <w:t xml:space="preserve">Appendix D.  Scenario design sheet</w:t>
        </w:r>
        <w:r>
          <w:rPr>
            <w:noProof/>
            <w:sz w:val="17"/>
          </w:rPr>
          <w:tab/>
        </w:r>
        <w:r>
          <w:rPr>
            <w:noProof/>
          </w:rPr>
          <w:fldChar w:fldCharType="begin"/>
        </w:r>
        <w:r>
          <w:rPr>
            <w:noProof/>
          </w:rPr>
          <w:instrText xml:space="preserve"> PAGEREF _RG0042 \h </w:instrText>
        </w:r>
        <w:r>
          <w:rPr>
            <w:noProof/>
          </w:rPr>
          <w:fldChar w:fldCharType="separate"/>
        </w:r>
        <w:r>
          <w:rPr>
            <w:noProof/>
            <w:sz w:val="17"/>
          </w:rPr>
          <w:t>23</w:t>
        </w:r>
        <w:r>
          <w:rPr>
            <w:noProof/>
          </w:rPr>
          <w:fldChar w:fldCharType="end"/>
        </w:r>
      </w:hyperlink>
    </w:p>
    <w:p>
      <w:pPr>
        <w:pStyle w:val="TOC1"/>
        <w:tabs>
          <w:tab w:val="right" w:leader="dot" w:pos="9746"/>
        </w:tabs>
        <w:spacing w:after="12" w:line="240" w:lineRule="auto"/>
        <w:rPr>
          <w:noProof/>
        </w:rPr>
      </w:pPr>
      <w:hyperlink w:anchor="_RG0043" w:history="1">
        <w:r>
          <w:rPr>
            <w:noProof/>
            <w:sz w:val="17"/>
          </w:rPr>
          <w:t xml:space="preserve">Appendix E.  Results record with metric formulas</w:t>
        </w:r>
        <w:r>
          <w:rPr>
            <w:noProof/>
            <w:sz w:val="17"/>
          </w:rPr>
          <w:tab/>
        </w:r>
        <w:r>
          <w:rPr>
            <w:noProof/>
          </w:rPr>
          <w:fldChar w:fldCharType="begin"/>
        </w:r>
        <w:r>
          <w:rPr>
            <w:noProof/>
          </w:rPr>
          <w:instrText xml:space="preserve"> PAGEREF _RG0043 \h </w:instrText>
        </w:r>
        <w:r>
          <w:rPr>
            <w:noProof/>
          </w:rPr>
          <w:fldChar w:fldCharType="separate"/>
        </w:r>
        <w:r>
          <w:rPr>
            <w:noProof/>
            <w:sz w:val="17"/>
          </w:rPr>
          <w:t>23</w:t>
        </w:r>
        <w:r>
          <w:rPr>
            <w:noProof/>
          </w:rPr>
          <w:fldChar w:fldCharType="end"/>
        </w:r>
      </w:hyperlink>
    </w:p>
    <w:p>
      <w:pPr>
        <w:pStyle w:val="TOC1"/>
        <w:tabs>
          <w:tab w:val="right" w:leader="dot" w:pos="9746"/>
        </w:tabs>
        <w:spacing w:after="12" w:line="240" w:lineRule="auto"/>
        <w:rPr>
          <w:noProof/>
        </w:rPr>
      </w:pPr>
      <w:hyperlink w:anchor="_RG0044" w:history="1">
        <w:r>
          <w:rPr>
            <w:noProof/>
            <w:sz w:val="17"/>
          </w:rPr>
          <w:t xml:space="preserve">Appendix F.  Findings and retest log</w:t>
        </w:r>
        <w:r>
          <w:rPr>
            <w:noProof/>
            <w:sz w:val="17"/>
          </w:rPr>
          <w:tab/>
        </w:r>
        <w:r>
          <w:rPr>
            <w:noProof/>
          </w:rPr>
          <w:fldChar w:fldCharType="begin"/>
        </w:r>
        <w:r>
          <w:rPr>
            <w:noProof/>
          </w:rPr>
          <w:instrText xml:space="preserve"> PAGEREF _RG0044 \h </w:instrText>
        </w:r>
        <w:r>
          <w:rPr>
            <w:noProof/>
          </w:rPr>
          <w:fldChar w:fldCharType="separate"/>
        </w:r>
        <w:r>
          <w:rPr>
            <w:noProof/>
            <w:sz w:val="17"/>
          </w:rPr>
          <w:t>24</w:t>
        </w:r>
        <w:r>
          <w:rPr>
            <w:noProof/>
          </w:rPr>
          <w:fldChar w:fldCharType="end"/>
        </w:r>
      </w:hyperlink>
    </w:p>
    <w:p>
      <w:pPr>
        <w:pStyle w:val="TOC1"/>
        <w:tabs>
          <w:tab w:val="right" w:leader="dot" w:pos="9746"/>
        </w:tabs>
        <w:spacing w:after="12" w:line="240" w:lineRule="auto"/>
        <w:rPr>
          <w:noProof/>
        </w:rPr>
      </w:pPr>
      <w:hyperlink w:anchor="_RG0045" w:history="1">
        <w:r>
          <w:rPr>
            <w:noProof/>
            <w:sz w:val="17"/>
          </w:rPr>
          <w:t xml:space="preserve">Appendix G.  Guidance for running the test in common mail platforms</w:t>
        </w:r>
        <w:r>
          <w:rPr>
            <w:noProof/>
            <w:sz w:val="17"/>
          </w:rPr>
          <w:tab/>
        </w:r>
        <w:r>
          <w:rPr>
            <w:noProof/>
          </w:rPr>
          <w:fldChar w:fldCharType="begin"/>
        </w:r>
        <w:r>
          <w:rPr>
            <w:noProof/>
          </w:rPr>
          <w:instrText xml:space="preserve"> PAGEREF _RG0045 \h </w:instrText>
        </w:r>
        <w:r>
          <w:rPr>
            <w:noProof/>
          </w:rPr>
          <w:fldChar w:fldCharType="separate"/>
        </w:r>
        <w:r>
          <w:rPr>
            <w:noProof/>
            <w:sz w:val="17"/>
          </w:rPr>
          <w:t>25</w:t>
        </w:r>
        <w:r>
          <w:rPr>
            <w:noProof/>
          </w:rPr>
          <w:fldChar w:fldCharType="end"/>
        </w:r>
      </w:hyperlink>
    </w:p>
    <w:p>
      <w:pPr>
        <w:pStyle w:val="TOC1"/>
        <w:tabs>
          <w:tab w:val="right" w:leader="dot" w:pos="9746"/>
        </w:tabs>
        <w:spacing w:after="12" w:line="240" w:lineRule="auto"/>
        <w:rPr>
          <w:noProof/>
        </w:rPr>
      </w:pPr>
      <w:hyperlink w:anchor="_RG0046" w:history="1">
        <w:r>
          <w:rPr>
            <w:noProof/>
            <w:sz w:val="17"/>
          </w:rPr>
          <w:t xml:space="preserve">Glossary</w:t>
        </w:r>
        <w:r>
          <w:rPr>
            <w:noProof/>
            <w:sz w:val="17"/>
          </w:rPr>
          <w:tab/>
        </w:r>
        <w:r>
          <w:rPr>
            <w:noProof/>
          </w:rPr>
          <w:fldChar w:fldCharType="begin"/>
        </w:r>
        <w:r>
          <w:rPr>
            <w:noProof/>
          </w:rPr>
          <w:instrText xml:space="preserve"> PAGEREF _RG0046 \h </w:instrText>
        </w:r>
        <w:r>
          <w:rPr>
            <w:noProof/>
          </w:rPr>
          <w:fldChar w:fldCharType="separate"/>
        </w:r>
        <w:r>
          <w:rPr>
            <w:noProof/>
            <w:sz w:val="17"/>
          </w:rPr>
          <w:t>27</w:t>
        </w:r>
        <w:r>
          <w:rPr>
            <w:noProof/>
          </w:rPr>
          <w:fldChar w:fldCharType="end"/>
        </w:r>
      </w:hyperlink>
    </w:p>
    <w:p>
      <w:pPr>
        <w:pStyle w:val="TOC1"/>
        <w:tabs>
          <w:tab w:val="right" w:leader="dot" w:pos="9746"/>
        </w:tabs>
        <w:spacing w:after="12" w:line="240" w:lineRule="auto"/>
        <w:rPr>
          <w:noProof/>
        </w:rPr>
      </w:pPr>
      <w:hyperlink w:anchor="_RG0049" w:history="1">
        <w:r>
          <w:rPr>
            <w:noProof/>
            <w:sz w:val="17"/>
          </w:rPr>
          <w:t xml:space="preserve">Record of changes</w:t>
        </w:r>
        <w:r>
          <w:rPr>
            <w:noProof/>
            <w:sz w:val="17"/>
          </w:rPr>
          <w:tab/>
        </w:r>
        <w:r>
          <w:rPr>
            <w:noProof/>
          </w:rPr>
          <w:fldChar w:fldCharType="begin"/>
        </w:r>
        <w:r>
          <w:rPr>
            <w:noProof/>
          </w:rPr>
          <w:instrText xml:space="preserve"> PAGEREF _RG0049 \h </w:instrText>
        </w:r>
        <w:r>
          <w:rPr>
            <w:noProof/>
          </w:rPr>
          <w:fldChar w:fldCharType="separate"/>
        </w:r>
        <w:r>
          <w:rPr>
            <w:noProof/>
            <w:sz w:val="17"/>
          </w:rPr>
          <w:t>28</w:t>
        </w:r>
        <w:r>
          <w:rPr>
            <w:noProof/>
          </w:rPr>
          <w:fldChar w:fldCharType="end"/>
        </w:r>
      </w:hyperlink>
      <w:r>
        <w:rPr>
          <w:noProof/>
        </w:rPr>
        <w:fldChar w:fldCharType="end"/>
      </w:r>
    </w:p>
    <w:p>
      <w:pPr>
        <w:pStyle w:val="Heading1"/>
        <w:keepNext/>
        <w:keepLines/>
        <w:pageBreakBefore/>
        <w:pBdr>
          <w:bottom w:val="single" w:color="D4DAE0" w:sz="4" w:space="4"/>
        </w:pBdr>
        <w:spacing w:after="140" w:before="300"/>
      </w:pPr>
      <w:bookmarkStart w:name="_RG0001" w:id="1"/>
      <w:r>
        <w:t xml:space="preserve">Executive summary</w:t>
      </w:r>
      <w:bookmarkEnd w:id="1"/>
    </w:p>
    <w:p>
      <w:pPr>
        <w:keepNext/>
        <w:spacing w:after="70" w:before="200"/>
      </w:pPr>
      <w:r>
        <w:rPr>
          <w:b/>
          <w:bCs/>
          <w:color w:val="2E5C7A"/>
          <w:sz w:val="17"/>
          <w:szCs w:val="17"/>
        </w:rPr>
        <w:t xml:space="preserve">WHY THIS IS WORTH A DOCUMENT OF ITS OWN</w:t>
      </w:r>
    </w:p>
    <w:p>
      <w:pPr>
        <w:spacing w:after="130" w:line="262"/>
      </w:pPr>
      <w:r>
        <w:t xml:space="preserve">Most phishing programs report one number: the percentage of staff who clicked a simulated link. It is easy to collect and says very little. It moves with the difficulty of the email that was sent, so a falling click rate can mean staff improved or can mean the lure got easier. And it says nothing about the question that decides how much damage a real phishing email does: when somebody notices it, does anybody who can act find out, and do they act before the second, third and fiftieth recipient opens it?</w:t>
      </w:r>
    </w:p>
    <w:p>
      <w:pPr>
        <w:spacing w:after="130" w:line="262"/>
      </w:pPr>
      <w:r>
        <w:t xml:space="preserve">Phishing email reaches every organization regardless of filtering. The difference between an incident and a near miss is usually the reporting route: the button or address staff use, the mailbox or queue the report lands in, the person who reads it, and the actions that person can take across every mailbox at once. Each of those is a hop where a report can stop. A report button that is missing on phones, a shared mailbox nobody owns, a ticket rule that auto-closes anything from the button, a responder without the permission to purge: any one of these means a report goes nowhere, and a click-rate dashboard will never show it.</w:t>
      </w:r>
    </w:p>
    <w:p>
      <w:pPr>
        <w:keepNext/>
        <w:spacing w:after="70" w:before="200"/>
      </w:pPr>
      <w:r>
        <w:rPr>
          <w:b/>
          <w:bCs/>
          <w:color w:val="2E5C7A"/>
          <w:sz w:val="17"/>
          <w:szCs w:val="17"/>
        </w:rPr>
        <w:t xml:space="preserve">WHAT THIS DOCUMENT CONTAINS</w:t>
      </w:r>
    </w:p>
    <w:p>
      <w:pPr>
        <w:spacing w:after="130" w:line="262"/>
      </w:pPr>
      <w:r>
        <w:t xml:space="preserve">A procedure in two parts. The first is a route test that needs no staff at all: a planted report from a known test account, timed from the moment it is sent until a responder triages it and carries out the containment actions, during working hours and outside them. The second is a staff-facing simulation designed at a stated difficulty, used to measure reporting rate, time to first report, and whether the first report triggers action across the whole organization.</w:t>
      </w:r>
    </w:p>
    <w:p>
      <w:pPr>
        <w:spacing w:after="130" w:line="262"/>
      </w:pPr>
      <w:r>
        <w:t xml:space="preserve">It defines every measure with a formula, treats click rate and credential submission rate as secondary, sets out the authorization and ethics rules that keep the test from damaging trust, lists where routes typically break, and gives the forms needed to run, record and retest. Appendix G is advisory guidance on running the procedure in common mail platforms.</w:t>
      </w:r>
    </w:p>
    <w:p>
      <w:pPr>
        <w:keepNext/>
        <w:spacing w:after="70" w:before="200"/>
      </w:pPr>
      <w:r>
        <w:rPr>
          <w:b/>
          <w:bCs/>
          <w:color w:val="2E5C7A"/>
          <w:sz w:val="17"/>
          <w:szCs w:val="17"/>
        </w:rPr>
        <w:t xml:space="preserve">WHO THIS DOCUMENT IS FOR</w:t>
      </w:r>
    </w:p>
    <w:p>
      <w:pPr>
        <w:spacing w:after="130" w:line="262"/>
      </w:pPr>
      <w:r>
        <w:t xml:space="preserve">The person who owns phishing defense in an organization of roughly 20 to 2,000 staff without a large security team: an IT manager, an operations lead, a compliance owner, or whoever was told to run phishing tests and suspects the results do not mean much. It assumes access to the mail platform administration console and a senior sponsor willing to sign an authorization. It does not assume a commercial phishing simulation product, although one makes the staff-facing part easier.</w:t>
      </w:r>
    </w:p>
    <w:p>
      <w:pPr>
        <w:keepNext/>
        <w:spacing w:after="70" w:before="200"/>
      </w:pPr>
      <w:r>
        <w:rPr>
          <w:b/>
          <w:bCs/>
          <w:color w:val="2E5C7A"/>
          <w:sz w:val="17"/>
          <w:szCs w:val="17"/>
        </w:rPr>
        <w:t xml:space="preserve">WHAT IT IS NOT</w:t>
      </w:r>
    </w:p>
    <w:p>
      <w:pPr>
        <w:spacing w:after="130" w:line="262"/>
      </w:pPr>
      <w:r>
        <w:t xml:space="preserve">It is not an awareness training program and does not replace one. It is not a red team exercise or an adversary simulation, and it does not test the mail filtering itself. It is not a tool for identifying individual staff for discipline; the procedure prohibits that use, because a test that punishes people who click teaches people not to report that they clicked, which is the opposite of what the route depends on.</w:t>
      </w:r>
    </w:p>
    <w:p>
      <w:pPr>
        <w:pStyle w:val="Heading1"/>
        <w:keepNext/>
        <w:keepLines/>
        <w:pageBreakBefore/>
        <w:pBdr>
          <w:bottom w:val="single" w:color="D4DAE0" w:sz="4" w:space="4"/>
        </w:pBdr>
        <w:spacing w:after="140" w:before="300"/>
      </w:pPr>
      <w:bookmarkStart w:name="_RG0002" w:id="1"/>
      <w:r>
        <w:t xml:space="preserve">1.  Purpose and scope</w:t>
      </w:r>
      <w:bookmarkEnd w:id="1"/>
    </w:p>
    <w:p>
      <w:pPr>
        <w:spacing w:after="130" w:line="262"/>
      </w:pPr>
      <w:r>
        <w:t xml:space="preserve">This procedure establishes how the organization tests whether a suspicious email reported by any member of staff reaches a person who can act on it, how long that takes, and whether the resulting action contains the threat across every mailbox that received it. It produces a measured result for each hop of the reporting route and a dated record of where the route failed and whether the failure was corrected.</w:t>
      </w:r>
    </w:p>
    <w:p>
      <w:pPr>
        <w:spacing w:after="130" w:line="262"/>
      </w:pPr>
      <w:r>
        <w:t xml:space="preserve">The procedure applies to every mail system the organization operates for staff, every client through which staff read mail (desktop, web and mobile), every channel staff are told to use to report suspicious email, and every person or team responsible for receiving, triaging and acting on those reports, including any managed service provider performing that work under contract.</w:t>
      </w:r>
    </w:p>
    <w:p>
      <w:pPr>
        <w:spacing w:after="60" w:line="120"/>
      </w:pPr>
      <w:r>
        <w:rPr>
          <w:sz w:val="4"/>
          <w:szCs w:val="4"/>
        </w:rPr>
        <w:t xml:space="preserve"/>
      </w:r>
    </w:p>
    <w:p>
      <w:pPr>
        <w:pStyle w:val="Heading2"/>
        <w:keepNext/>
        <w:keepLines/>
        <w:spacing w:after="90" w:before="220"/>
      </w:pPr>
      <w:bookmarkStart w:name="_RG0003" w:id="1"/>
      <w:r>
        <w:t xml:space="preserve">1.1  What is measured</w:t>
      </w:r>
      <w:bookmarkEnd w:id="1"/>
    </w:p>
    <w:p>
      <w:pPr>
        <w:spacing w:after="130" w:line="262"/>
      </w:pPr>
      <w:r>
        <w:t xml:space="preserve">The procedure measures the route first and staff behavior second. The primary measures are:</w:t>
      </w:r>
    </w:p>
    <w:p>
      <w:pPr>
        <w:pStyle w:val="ListParagraph"/>
        <w:numPr>
          <w:ilvl w:val="0"/>
          <w:numId w:val="2"/>
        </w:numPr>
        <w:spacing w:after="60" w:line="262"/>
      </w:pPr>
      <w:r>
        <w:rPr>
          <w:b/>
          <w:bCs/>
        </w:rPr>
        <w:t xml:space="preserve">Route integrity:</w:t>
      </w:r>
      <w:r>
        <w:t xml:space="preserve"> whether a report made through each sanctioned channel arrives in a monitored queue, from each client type, during and outside working hours.</w:t>
      </w:r>
    </w:p>
    <w:p>
      <w:pPr>
        <w:pStyle w:val="ListParagraph"/>
        <w:numPr>
          <w:ilvl w:val="0"/>
          <w:numId w:val="2"/>
        </w:numPr>
        <w:spacing w:after="60" w:line="262"/>
      </w:pPr>
      <w:r>
        <w:rPr>
          <w:b/>
          <w:bCs/>
        </w:rPr>
        <w:t xml:space="preserve">Reporting rate:</w:t>
      </w:r>
      <w:r>
        <w:t xml:space="preserve"> the share of recipients of a simulated phishing email who report it through a sanctioned channel.</w:t>
      </w:r>
    </w:p>
    <w:p>
      <w:pPr>
        <w:pStyle w:val="ListParagraph"/>
        <w:numPr>
          <w:ilvl w:val="0"/>
          <w:numId w:val="2"/>
        </w:numPr>
        <w:spacing w:after="60" w:line="262"/>
      </w:pPr>
      <w:r>
        <w:rPr>
          <w:b/>
          <w:bCs/>
        </w:rPr>
        <w:t xml:space="preserve">Time to first report:</w:t>
      </w:r>
      <w:r>
        <w:t xml:space="preserve"> how long after delivery the first report arrives.</w:t>
      </w:r>
    </w:p>
    <w:p>
      <w:pPr>
        <w:pStyle w:val="ListParagraph"/>
        <w:numPr>
          <w:ilvl w:val="0"/>
          <w:numId w:val="2"/>
        </w:numPr>
        <w:spacing w:after="60" w:line="262"/>
      </w:pPr>
      <w:r>
        <w:rPr>
          <w:b/>
          <w:bCs/>
        </w:rPr>
        <w:t xml:space="preserve">Time to triage:</w:t>
      </w:r>
      <w:r>
        <w:t xml:space="preserve"> how long after the first report arrives a responder classifies it.</w:t>
      </w:r>
    </w:p>
    <w:p>
      <w:pPr>
        <w:pStyle w:val="ListParagraph"/>
        <w:numPr>
          <w:ilvl w:val="0"/>
          <w:numId w:val="2"/>
        </w:numPr>
        <w:spacing w:after="60" w:line="262"/>
      </w:pPr>
      <w:r>
        <w:rPr>
          <w:b/>
          <w:bCs/>
        </w:rPr>
        <w:t xml:space="preserve">Time to containment action:</w:t>
      </w:r>
      <w:r>
        <w:t xml:space="preserve"> how long after the first report the message is removed from every mailbox that received it, the sender is blocked and, where required, affected credentials are reset and sessions revoked.</w:t>
      </w:r>
    </w:p>
    <w:p>
      <w:pPr>
        <w:spacing w:after="130" w:line="262"/>
      </w:pPr>
      <w:r>
        <w:t xml:space="preserve">Click rate and credential submission rate are recorded as secondary measures and are never reported without the difficulty rating of the email that produced them and the reporting measures alongside them.</w:t>
      </w:r>
    </w:p>
    <w:p>
      <w:pPr>
        <w:spacing w:after="60" w:line="120"/>
      </w:pPr>
      <w:r>
        <w:rPr>
          <w:sz w:val="4"/>
          <w:szCs w:val="4"/>
        </w:rPr>
        <w:t xml:space="preserve"/>
      </w:r>
    </w:p>
    <w:p>
      <w:pPr>
        <w:pStyle w:val="Heading2"/>
        <w:keepNext/>
        <w:keepLines/>
        <w:spacing w:after="90" w:before="220"/>
      </w:pPr>
      <w:bookmarkStart w:name="_RG0004" w:id="1"/>
      <w:r>
        <w:t xml:space="preserve">1.2  Frequency</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508"/>
        <w:gridCol w:w="2923"/>
        <w:gridCol w:w="3315"/>
      </w:tblGrid>
      <w:tr>
        <w:trPr>
          <w:cantSplit/>
          <w:tblHeader/>
        </w:trPr>
        <w:tc>
          <w:tcPr>
            <w:tcW w:type="dxa" w:w="350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Activity</w:t>
            </w:r>
          </w:p>
        </w:tc>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Default frequency</w:t>
            </w:r>
          </w:p>
        </w:tc>
        <w:tc>
          <w:tcPr>
            <w:tcW w:type="dxa" w:w="331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Additional trigger</w:t>
            </w: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Route test with a planted report, working hours</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Not less than quarterly</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Within 10 working days of any change to the report button, reporting mailbox, ticket rules, on-call rota or responder team</w:t>
            </w: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Route test with a planted report, outside working hours</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Not less than twice a year</w:t>
            </w:r>
          </w:p>
        </w:tc>
        <w:tc>
          <w:tcPr>
            <w:tcW w:type="dxa" w:w="3315"/>
            <w:shd w:fill="F2F4F6" w:color="auto" w:val="clear"/>
            <w:tcMar>
              <w:top w:type="dxa" w:w="70"/>
              <w:left w:type="dxa" w:w="100"/>
              <w:bottom w:type="dxa" w:w="70"/>
              <w:right w:type="dxa" w:w="100"/>
            </w:tcMar>
            <w:vAlign w:val="top"/>
          </w:tcPr>
          <w:p>
            <w:pPr>
              <w:spacing w:after="0" w:before="0" w:line="252"/>
            </w:pPr>
            <w:r>
              <w:rPr>
                <w:sz w:val="17"/>
                <w:szCs w:val="17"/>
              </w:rPr>
              <w:t xml:space="preserve">Within 30 days of any change to out-of-hours cover or the provider performing it</w:t>
            </w: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Staff-facing simulation</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Not less than twice a year, not more often than monthly for any one member of staff</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Before and after a significant change to awareness training content</w:t>
            </w: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Retest of a failed hop</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Within 30 days of the corrective action being reported complete</w:t>
            </w:r>
          </w:p>
        </w:tc>
        <w:tc>
          <w:tcPr>
            <w:tcW w:type="dxa" w:w="3315"/>
            <w:shd w:fill="F2F4F6" w:color="auto" w:val="clear"/>
            <w:tcMar>
              <w:top w:type="dxa" w:w="70"/>
              <w:left w:type="dxa" w:w="100"/>
              <w:bottom w:type="dxa" w:w="70"/>
              <w:right w:type="dxa" w:w="100"/>
            </w:tcMar>
            <w:vAlign w:val="top"/>
          </w:tcPr>
          <w:p>
            <w:pPr>
              <w:spacing w:after="0" w:before="0" w:line="252"/>
            </w:pPr>
            <w:r>
              <w:rPr>
                <w:sz w:val="17"/>
                <w:szCs w:val="17"/>
              </w:rPr>
              <w:t xml:space="preserve">Not applicable</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05" w:id="1"/>
      <w:r>
        <w:t xml:space="preserve">2.  Principles</w:t>
      </w:r>
      <w:bookmarkEnd w:id="1"/>
    </w:p>
    <w:p>
      <w:pPr>
        <w:keepNext/>
        <w:keepLines/>
        <w:pBdr>
          <w:top w:val="single" w:color="D4DAE0" w:sz="4" w:space="9"/>
        </w:pBdr>
        <w:spacing w:after="46" w:before="110"/>
      </w:pPr>
      <w:r>
        <w:rPr>
          <w:b/>
          <w:bCs/>
          <w:color w:val="2E5C7A"/>
          <w:sz w:val="21"/>
          <w:szCs w:val="21"/>
        </w:rPr>
        <w:t xml:space="preserve">The route is the thing under test</w:t>
      </w:r>
    </w:p>
    <w:p>
      <w:pPr>
        <w:spacing w:after="62" w:line="262"/>
        <w:ind w:left="172"/>
      </w:pPr>
      <w:r>
        <w:t xml:space="preserve">A report that reaches nobody is worth nothing, however many staff make it. The route is tested on its own, without staff, before staff are tested, because a staff simulation run over a broken route produces numbers that describe nothing real.</w:t>
      </w:r>
    </w:p>
    <w:p>
      <w:pPr>
        <w:keepNext/>
        <w:keepLines/>
        <w:pBdr>
          <w:top w:val="single" w:color="D4DAE0" w:sz="4" w:space="9"/>
        </w:pBdr>
        <w:spacing w:after="46" w:before="170"/>
      </w:pPr>
      <w:r>
        <w:rPr>
          <w:b/>
          <w:bCs/>
          <w:color w:val="2E5C7A"/>
          <w:sz w:val="21"/>
          <w:szCs w:val="21"/>
        </w:rPr>
        <w:t xml:space="preserve">A report is only useful if it triggers action</w:t>
      </w:r>
    </w:p>
    <w:p>
      <w:pPr>
        <w:spacing w:after="62" w:line="262"/>
        <w:ind w:left="172"/>
      </w:pPr>
      <w:r>
        <w:t xml:space="preserve">The test does not stop when a report is received. It stops when the reported message has been removed from every mailbox, the sender has been blocked, and any credentials that may have been exposed have been reset with sessions revoked, or when the route fails to do those things. The measured end point is the action, not the acknowledgment.</w:t>
      </w:r>
    </w:p>
    <w:p>
      <w:pPr>
        <w:keepNext/>
        <w:keepLines/>
        <w:pBdr>
          <w:top w:val="single" w:color="D4DAE0" w:sz="4" w:space="9"/>
        </w:pBdr>
        <w:spacing w:after="46" w:before="170"/>
      </w:pPr>
      <w:r>
        <w:rPr>
          <w:b/>
          <w:bCs/>
          <w:color w:val="2E5C7A"/>
          <w:sz w:val="21"/>
          <w:szCs w:val="21"/>
        </w:rPr>
        <w:t xml:space="preserve">Measure in working hours and outside them</w:t>
      </w:r>
    </w:p>
    <w:p>
      <w:pPr>
        <w:spacing w:after="62" w:line="262"/>
        <w:ind w:left="172"/>
      </w:pPr>
      <w:r>
        <w:t xml:space="preserve">Phishing arrives at any time. A route that works at 10:00 on a Tuesday and is unmonitored from 17:30 Friday to 08:30 Monday is unmonitored for more than a third of the week. Both are measured and reported separately.</w:t>
      </w:r>
    </w:p>
    <w:p>
      <w:pPr>
        <w:keepNext/>
        <w:keepLines/>
        <w:pBdr>
          <w:top w:val="single" w:color="D4DAE0" w:sz="4" w:space="9"/>
        </w:pBdr>
        <w:spacing w:after="46" w:before="170"/>
      </w:pPr>
      <w:r>
        <w:rPr>
          <w:b/>
          <w:bCs/>
          <w:color w:val="2E5C7A"/>
          <w:sz w:val="21"/>
          <w:szCs w:val="21"/>
        </w:rPr>
        <w:t xml:space="preserve">Difficulty is stated with every result</w:t>
      </w:r>
    </w:p>
    <w:p>
      <w:pPr>
        <w:spacing w:after="62" w:line="262"/>
        <w:ind w:left="172"/>
      </w:pPr>
      <w:r>
        <w:t xml:space="preserve">A click rate or reporting rate is reported only with the difficulty rating of the email that produced it. Two results are compared only where the difficulty ratings match.</w:t>
      </w:r>
    </w:p>
    <w:p>
      <w:pPr>
        <w:keepNext/>
        <w:keepLines/>
        <w:pBdr>
          <w:top w:val="single" w:color="D4DAE0" w:sz="4" w:space="9"/>
        </w:pBdr>
        <w:spacing w:after="46" w:before="170"/>
      </w:pPr>
      <w:r>
        <w:rPr>
          <w:b/>
          <w:bCs/>
          <w:color w:val="2E5C7A"/>
          <w:sz w:val="21"/>
          <w:szCs w:val="21"/>
        </w:rPr>
        <w:t xml:space="preserve">No individual is named or punished</w:t>
      </w:r>
    </w:p>
    <w:p>
      <w:pPr>
        <w:spacing w:after="62" w:line="262"/>
        <w:ind w:left="172"/>
      </w:pPr>
      <w:r>
        <w:t xml:space="preserve">Individual results are held privately by the program owner, used only to offer support, and never shared with line managers for performance purposes or disclosed in any report. A member of staff who reports having clicked is thanked, every time.</w:t>
      </w:r>
    </w:p>
    <w:p>
      <w:pPr>
        <w:keepNext/>
        <w:keepLines/>
        <w:pBdr>
          <w:top w:val="single" w:color="D4DAE0" w:sz="4" w:space="9"/>
        </w:pBdr>
        <w:spacing w:after="46" w:before="170"/>
      </w:pPr>
      <w:r>
        <w:rPr>
          <w:b/>
          <w:bCs/>
          <w:color w:val="2E5C7A"/>
          <w:sz w:val="21"/>
          <w:szCs w:val="21"/>
        </w:rPr>
        <w:t xml:space="preserve">Authorization precedes everything</w:t>
      </w:r>
    </w:p>
    <w:p>
      <w:pPr>
        <w:spacing w:after="62" w:line="262"/>
        <w:ind w:left="172"/>
      </w:pPr>
      <w:r>
        <w:t xml:space="preserve">No planted report and no simulation is sent without a signed authorization from the senior sponsor naming the scope, the window, the exclusions and the deconfliction contact.</w:t>
      </w:r>
    </w:p>
    <w:p>
      <w:pPr>
        <w:spacing w:after="60" w:line="120"/>
      </w:pPr>
      <w:r>
        <w:rPr>
          <w:sz w:val="4"/>
          <w:szCs w:val="4"/>
        </w:rPr>
        <w:t xml:space="preserve"/>
      </w:r>
    </w:p>
    <w:p>
      <w:pPr>
        <w:pStyle w:val="Heading1"/>
        <w:keepNext/>
        <w:keepLines/>
        <w:pBdr>
          <w:bottom w:val="single" w:color="D4DAE0" w:sz="4" w:space="4"/>
        </w:pBdr>
        <w:spacing w:after="140" w:before="300"/>
      </w:pPr>
      <w:bookmarkStart w:name="_RG0006" w:id="1"/>
      <w:r>
        <w:t xml:space="preserve">3.  The reporting route</w:t>
      </w:r>
      <w:bookmarkEnd w:id="1"/>
    </w:p>
    <w:p>
      <w:pPr>
        <w:spacing w:after="130" w:line="262"/>
      </w:pPr>
      <w:r>
        <w:t xml:space="preserve">The reporting route is a chain of hops. A report must pass every hop to produce an action, and the route is only as fast as its slowest hop and only as available as its least available one. Before any test, the test lead maps the route as it actually operates, using the route map worksheet in Appendix B, and confirms each hop by observation rather than by asking whoever configured it.</w:t>
      </w:r>
    </w:p>
    <w:p>
      <w:pPr>
        <w:spacing w:after="60" w:line="120"/>
      </w:pPr>
      <w:r>
        <w:rPr>
          <w:sz w:val="4"/>
          <w:szCs w:val="4"/>
        </w:rPr>
        <w:t xml:space="preserve"/>
      </w:r>
    </w:p>
    <w:p>
      <w:pPr>
        <w:pStyle w:val="Heading2"/>
        <w:keepNext/>
        <w:keepLines/>
        <w:spacing w:after="90" w:before="220"/>
      </w:pPr>
      <w:bookmarkStart w:name="_RG0007" w:id="1"/>
      <w:r>
        <w:t xml:space="preserve">3.1  The hops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2046"/>
        <w:gridCol w:w="4093"/>
        <w:gridCol w:w="3120"/>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204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Hop</w:t>
            </w:r>
          </w:p>
        </w:tc>
        <w:tc>
          <w:tcPr>
            <w:tcW w:type="dxa" w:w="409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What must be true</w:t>
            </w:r>
          </w:p>
        </w:tc>
        <w:tc>
          <w:tcPr>
            <w:tcW w:type="dxa" w:w="312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Typical failure</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2046"/>
            <w:shd w:fill="FFFFFF" w:color="auto" w:val="clear"/>
            <w:tcMar>
              <w:top w:type="dxa" w:w="70"/>
              <w:left w:type="dxa" w:w="100"/>
              <w:bottom w:type="dxa" w:w="70"/>
              <w:right w:type="dxa" w:w="100"/>
            </w:tcMar>
            <w:vAlign w:val="top"/>
          </w:tcPr>
          <w:p>
            <w:pPr>
              <w:spacing w:after="0" w:before="0" w:line="252"/>
            </w:pPr>
            <w:r>
              <w:rPr>
                <w:sz w:val="17"/>
                <w:szCs w:val="17"/>
              </w:rPr>
              <w:t xml:space="preserve">Reporting channel: a report button in the mail client, a forwarding address, or both</w:t>
            </w:r>
          </w:p>
        </w:tc>
        <w:tc>
          <w:tcPr>
            <w:tcW w:type="dxa" w:w="4093"/>
            <w:shd w:fill="FFFFFF" w:color="auto" w:val="clear"/>
            <w:tcMar>
              <w:top w:type="dxa" w:w="70"/>
              <w:left w:type="dxa" w:w="100"/>
              <w:bottom w:type="dxa" w:w="70"/>
              <w:right w:type="dxa" w:w="100"/>
            </w:tcMar>
            <w:vAlign w:val="top"/>
          </w:tcPr>
          <w:p>
            <w:pPr>
              <w:spacing w:after="0" w:before="0" w:line="252"/>
            </w:pPr>
            <w:r>
              <w:rPr>
                <w:sz w:val="17"/>
                <w:szCs w:val="17"/>
              </w:rPr>
              <w:t xml:space="preserve">Available in every client staff use, including mobile apps and web mail, and in shared or delegated mailboxes where staff read mail on behalf of a team</w:t>
            </w:r>
          </w:p>
        </w:tc>
        <w:tc>
          <w:tcPr>
            <w:tcW w:type="dxa" w:w="3120"/>
            <w:shd w:fill="FFFFFF" w:color="auto" w:val="clear"/>
            <w:tcMar>
              <w:top w:type="dxa" w:w="70"/>
              <w:left w:type="dxa" w:w="100"/>
              <w:bottom w:type="dxa" w:w="70"/>
              <w:right w:type="dxa" w:w="100"/>
            </w:tcMar>
            <w:vAlign w:val="top"/>
          </w:tcPr>
          <w:p>
            <w:pPr>
              <w:spacing w:after="0" w:before="0" w:line="252"/>
            </w:pPr>
            <w:r>
              <w:rPr>
                <w:sz w:val="17"/>
                <w:szCs w:val="17"/>
              </w:rPr>
              <w:t xml:space="preserve">Button deployed to desktop only; forwarding address not published; forwarding strips headers so the original message cannot be found</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2046"/>
            <w:shd w:fill="F2F4F6" w:color="auto" w:val="clear"/>
            <w:tcMar>
              <w:top w:type="dxa" w:w="70"/>
              <w:left w:type="dxa" w:w="100"/>
              <w:bottom w:type="dxa" w:w="70"/>
              <w:right w:type="dxa" w:w="100"/>
            </w:tcMar>
            <w:vAlign w:val="top"/>
          </w:tcPr>
          <w:p>
            <w:pPr>
              <w:spacing w:after="0" w:before="0" w:line="252"/>
            </w:pPr>
            <w:r>
              <w:rPr>
                <w:sz w:val="17"/>
                <w:szCs w:val="17"/>
              </w:rPr>
              <w:t xml:space="preserve">Delivery of the report</w:t>
            </w:r>
          </w:p>
        </w:tc>
        <w:tc>
          <w:tcPr>
            <w:tcW w:type="dxa" w:w="4093"/>
            <w:shd w:fill="F2F4F6" w:color="auto" w:val="clear"/>
            <w:tcMar>
              <w:top w:type="dxa" w:w="70"/>
              <w:left w:type="dxa" w:w="100"/>
              <w:bottom w:type="dxa" w:w="70"/>
              <w:right w:type="dxa" w:w="100"/>
            </w:tcMar>
            <w:vAlign w:val="top"/>
          </w:tcPr>
          <w:p>
            <w:pPr>
              <w:spacing w:after="0" w:before="0" w:line="252"/>
            </w:pPr>
            <w:r>
              <w:rPr>
                <w:sz w:val="17"/>
                <w:szCs w:val="17"/>
              </w:rPr>
              <w:t xml:space="preserve">The report reaches the destination unfiltered, with the original message attached intact or identifiable by its message identifier</w:t>
            </w:r>
          </w:p>
        </w:tc>
        <w:tc>
          <w:tcPr>
            <w:tcW w:type="dxa" w:w="3120"/>
            <w:shd w:fill="F2F4F6" w:color="auto" w:val="clear"/>
            <w:tcMar>
              <w:top w:type="dxa" w:w="70"/>
              <w:left w:type="dxa" w:w="100"/>
              <w:bottom w:type="dxa" w:w="70"/>
              <w:right w:type="dxa" w:w="100"/>
            </w:tcMar>
            <w:vAlign w:val="top"/>
          </w:tcPr>
          <w:p>
            <w:pPr>
              <w:spacing w:after="0" w:before="0" w:line="252"/>
            </w:pPr>
            <w:r>
              <w:rPr>
                <w:sz w:val="17"/>
                <w:szCs w:val="17"/>
              </w:rPr>
              <w:t xml:space="preserve">Reporting mailbox is itself subject to spam filtering and reports are quarantined or junked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2046"/>
            <w:shd w:fill="FFFFFF" w:color="auto" w:val="clear"/>
            <w:tcMar>
              <w:top w:type="dxa" w:w="70"/>
              <w:left w:type="dxa" w:w="100"/>
              <w:bottom w:type="dxa" w:w="70"/>
              <w:right w:type="dxa" w:w="100"/>
            </w:tcMar>
            <w:vAlign w:val="top"/>
          </w:tcPr>
          <w:p>
            <w:pPr>
              <w:spacing w:after="0" w:before="0" w:line="252"/>
            </w:pPr>
            <w:r>
              <w:rPr>
                <w:sz w:val="17"/>
                <w:szCs w:val="17"/>
              </w:rPr>
              <w:t xml:space="preserve">Destination: shared mailbox, ticket queue, or security platform queue</w:t>
            </w:r>
          </w:p>
        </w:tc>
        <w:tc>
          <w:tcPr>
            <w:tcW w:type="dxa" w:w="4093"/>
            <w:shd w:fill="FFFFFF" w:color="auto" w:val="clear"/>
            <w:tcMar>
              <w:top w:type="dxa" w:w="70"/>
              <w:left w:type="dxa" w:w="100"/>
              <w:bottom w:type="dxa" w:w="70"/>
              <w:right w:type="dxa" w:w="100"/>
            </w:tcMar>
            <w:vAlign w:val="top"/>
          </w:tcPr>
          <w:p>
            <w:pPr>
              <w:spacing w:after="0" w:before="0" w:line="252"/>
            </w:pPr>
            <w:r>
              <w:rPr>
                <w:sz w:val="17"/>
                <w:szCs w:val="17"/>
              </w:rPr>
              <w:t xml:space="preserve">A single destination, or several that are all monitored, with a named owner</w:t>
            </w:r>
          </w:p>
        </w:tc>
        <w:tc>
          <w:tcPr>
            <w:tcW w:type="dxa" w:w="3120"/>
            <w:shd w:fill="FFFFFF" w:color="auto" w:val="clear"/>
            <w:tcMar>
              <w:top w:type="dxa" w:w="70"/>
              <w:left w:type="dxa" w:w="100"/>
              <w:bottom w:type="dxa" w:w="70"/>
              <w:right w:type="dxa" w:w="100"/>
            </w:tcMar>
            <w:vAlign w:val="top"/>
          </w:tcPr>
          <w:p>
            <w:pPr>
              <w:spacing w:after="0" w:before="0" w:line="252"/>
            </w:pPr>
            <w:r>
              <w:rPr>
                <w:sz w:val="17"/>
                <w:szCs w:val="17"/>
              </w:rPr>
              <w:t xml:space="preserve">Shared mailbox with no owner; reports split across two mailboxes and one is never read</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2046"/>
            <w:shd w:fill="F2F4F6" w:color="auto" w:val="clear"/>
            <w:tcMar>
              <w:top w:type="dxa" w:w="70"/>
              <w:left w:type="dxa" w:w="100"/>
              <w:bottom w:type="dxa" w:w="70"/>
              <w:right w:type="dxa" w:w="100"/>
            </w:tcMar>
            <w:vAlign w:val="top"/>
          </w:tcPr>
          <w:p>
            <w:pPr>
              <w:spacing w:after="0" w:before="0" w:line="252"/>
            </w:pPr>
            <w:r>
              <w:rPr>
                <w:sz w:val="17"/>
                <w:szCs w:val="17"/>
              </w:rPr>
              <w:t xml:space="preserve">Monitoring</w:t>
            </w:r>
          </w:p>
        </w:tc>
        <w:tc>
          <w:tcPr>
            <w:tcW w:type="dxa" w:w="4093"/>
            <w:shd w:fill="F2F4F6" w:color="auto" w:val="clear"/>
            <w:tcMar>
              <w:top w:type="dxa" w:w="70"/>
              <w:left w:type="dxa" w:w="100"/>
              <w:bottom w:type="dxa" w:w="70"/>
              <w:right w:type="dxa" w:w="100"/>
            </w:tcMar>
            <w:vAlign w:val="top"/>
          </w:tcPr>
          <w:p>
            <w:pPr>
              <w:spacing w:after="0" w:before="0" w:line="252"/>
            </w:pPr>
            <w:r>
              <w:rPr>
                <w:sz w:val="17"/>
                <w:szCs w:val="17"/>
              </w:rPr>
              <w:t xml:space="preserve">A named person or rota reads the destination at a stated interval during working hours, and a stated arrangement covers outside working hours</w:t>
            </w:r>
          </w:p>
        </w:tc>
        <w:tc>
          <w:tcPr>
            <w:tcW w:type="dxa" w:w="3120"/>
            <w:shd w:fill="F2F4F6" w:color="auto" w:val="clear"/>
            <w:tcMar>
              <w:top w:type="dxa" w:w="70"/>
              <w:left w:type="dxa" w:w="100"/>
              <w:bottom w:type="dxa" w:w="70"/>
              <w:right w:type="dxa" w:w="100"/>
            </w:tcMar>
            <w:vAlign w:val="top"/>
          </w:tcPr>
          <w:p>
            <w:pPr>
              <w:spacing w:after="0" w:before="0" w:line="252"/>
            </w:pPr>
            <w:r>
              <w:rPr>
                <w:sz w:val="17"/>
                <w:szCs w:val="17"/>
              </w:rPr>
              <w:t xml:space="preserve">Read when somebody remembers; nothing between Friday evening and Monday morning</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2046"/>
            <w:shd w:fill="FFFFFF" w:color="auto" w:val="clear"/>
            <w:tcMar>
              <w:top w:type="dxa" w:w="70"/>
              <w:left w:type="dxa" w:w="100"/>
              <w:bottom w:type="dxa" w:w="70"/>
              <w:right w:type="dxa" w:w="100"/>
            </w:tcMar>
            <w:vAlign w:val="top"/>
          </w:tcPr>
          <w:p>
            <w:pPr>
              <w:spacing w:after="0" w:before="0" w:line="252"/>
            </w:pPr>
            <w:r>
              <w:rPr>
                <w:sz w:val="17"/>
                <w:szCs w:val="17"/>
              </w:rPr>
              <w:t xml:space="preserve">Triage</w:t>
            </w:r>
          </w:p>
        </w:tc>
        <w:tc>
          <w:tcPr>
            <w:tcW w:type="dxa" w:w="4093"/>
            <w:shd w:fill="FFFFFF" w:color="auto" w:val="clear"/>
            <w:tcMar>
              <w:top w:type="dxa" w:w="70"/>
              <w:left w:type="dxa" w:w="100"/>
              <w:bottom w:type="dxa" w:w="70"/>
              <w:right w:type="dxa" w:w="100"/>
            </w:tcMar>
            <w:vAlign w:val="top"/>
          </w:tcPr>
          <w:p>
            <w:pPr>
              <w:spacing w:after="0" w:before="0" w:line="252"/>
            </w:pPr>
            <w:r>
              <w:rPr>
                <w:sz w:val="17"/>
                <w:szCs w:val="17"/>
              </w:rPr>
              <w:t xml:space="preserve">Written criteria classify each report as malicious, suspicious, simulation, spam or legitimate, and decide whether containment actions are required</w:t>
            </w:r>
          </w:p>
        </w:tc>
        <w:tc>
          <w:tcPr>
            <w:tcW w:type="dxa" w:w="3120"/>
            <w:shd w:fill="FFFFFF" w:color="auto" w:val="clear"/>
            <w:tcMar>
              <w:top w:type="dxa" w:w="70"/>
              <w:left w:type="dxa" w:w="100"/>
              <w:bottom w:type="dxa" w:w="70"/>
              <w:right w:type="dxa" w:w="100"/>
            </w:tcMar>
            <w:vAlign w:val="top"/>
          </w:tcPr>
          <w:p>
            <w:pPr>
              <w:spacing w:after="0" w:before="0" w:line="252"/>
            </w:pPr>
            <w:r>
              <w:rPr>
                <w:sz w:val="17"/>
                <w:szCs w:val="17"/>
              </w:rPr>
              <w:t xml:space="preserve">No criteria; reports closed as spam without inspection; ticket rules auto-close reports as low priority</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2046"/>
            <w:shd w:fill="F2F4F6" w:color="auto" w:val="clear"/>
            <w:tcMar>
              <w:top w:type="dxa" w:w="70"/>
              <w:left w:type="dxa" w:w="100"/>
              <w:bottom w:type="dxa" w:w="70"/>
              <w:right w:type="dxa" w:w="100"/>
            </w:tcMar>
            <w:vAlign w:val="top"/>
          </w:tcPr>
          <w:p>
            <w:pPr>
              <w:spacing w:after="0" w:before="0" w:line="252"/>
            </w:pPr>
            <w:r>
              <w:rPr>
                <w:sz w:val="17"/>
                <w:szCs w:val="17"/>
              </w:rPr>
              <w:t xml:space="preserve">Containment actions</w:t>
            </w:r>
          </w:p>
        </w:tc>
        <w:tc>
          <w:tcPr>
            <w:tcW w:type="dxa" w:w="4093"/>
            <w:shd w:fill="F2F4F6" w:color="auto" w:val="clear"/>
            <w:tcMar>
              <w:top w:type="dxa" w:w="70"/>
              <w:left w:type="dxa" w:w="100"/>
              <w:bottom w:type="dxa" w:w="70"/>
              <w:right w:type="dxa" w:w="100"/>
            </w:tcMar>
            <w:vAlign w:val="top"/>
          </w:tcPr>
          <w:p>
            <w:pPr>
              <w:spacing w:after="0" w:before="0" w:line="252"/>
            </w:pPr>
            <w:r>
              <w:rPr>
                <w:sz w:val="17"/>
                <w:szCs w:val="17"/>
              </w:rPr>
              <w:t xml:space="preserve">A responder with the necessary permissions can search every mailbox for the message and its variants, remove them, block the sender and any malicious URLs or domains, and reset credentials and revoke sessions for anyone who submitted them</w:t>
            </w:r>
          </w:p>
        </w:tc>
        <w:tc>
          <w:tcPr>
            <w:tcW w:type="dxa" w:w="3120"/>
            <w:shd w:fill="F2F4F6" w:color="auto" w:val="clear"/>
            <w:tcMar>
              <w:top w:type="dxa" w:w="70"/>
              <w:left w:type="dxa" w:w="100"/>
              <w:bottom w:type="dxa" w:w="70"/>
              <w:right w:type="dxa" w:w="100"/>
            </w:tcMar>
            <w:vAlign w:val="top"/>
          </w:tcPr>
          <w:p>
            <w:pPr>
              <w:spacing w:after="0" w:before="0" w:line="252"/>
            </w:pPr>
            <w:r>
              <w:rPr>
                <w:sz w:val="17"/>
                <w:szCs w:val="17"/>
              </w:rPr>
              <w:t xml:space="preserve">Responder can delete the reported copy only; purge permission held by one administrator who is on leave</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2046"/>
            <w:shd w:fill="FFFFFF" w:color="auto" w:val="clear"/>
            <w:tcMar>
              <w:top w:type="dxa" w:w="70"/>
              <w:left w:type="dxa" w:w="100"/>
              <w:bottom w:type="dxa" w:w="70"/>
              <w:right w:type="dxa" w:w="100"/>
            </w:tcMar>
            <w:vAlign w:val="top"/>
          </w:tcPr>
          <w:p>
            <w:pPr>
              <w:spacing w:after="0" w:before="0" w:line="252"/>
            </w:pPr>
            <w:r>
              <w:rPr>
                <w:sz w:val="17"/>
                <w:szCs w:val="17"/>
              </w:rPr>
              <w:t xml:space="preserve">Feedback to the reporter</w:t>
            </w:r>
          </w:p>
        </w:tc>
        <w:tc>
          <w:tcPr>
            <w:tcW w:type="dxa" w:w="4093"/>
            <w:shd w:fill="FFFFFF" w:color="auto" w:val="clear"/>
            <w:tcMar>
              <w:top w:type="dxa" w:w="70"/>
              <w:left w:type="dxa" w:w="100"/>
              <w:bottom w:type="dxa" w:w="70"/>
              <w:right w:type="dxa" w:w="100"/>
            </w:tcMar>
            <w:vAlign w:val="top"/>
          </w:tcPr>
          <w:p>
            <w:pPr>
              <w:spacing w:after="0" w:before="0" w:line="252"/>
            </w:pPr>
            <w:r>
              <w:rPr>
                <w:sz w:val="17"/>
                <w:szCs w:val="17"/>
              </w:rPr>
              <w:t xml:space="preserve">The reporter is told what happened to the report</w:t>
            </w:r>
          </w:p>
        </w:tc>
        <w:tc>
          <w:tcPr>
            <w:tcW w:type="dxa" w:w="3120"/>
            <w:shd w:fill="FFFFFF" w:color="auto" w:val="clear"/>
            <w:tcMar>
              <w:top w:type="dxa" w:w="70"/>
              <w:left w:type="dxa" w:w="100"/>
              <w:bottom w:type="dxa" w:w="70"/>
              <w:right w:type="dxa" w:w="100"/>
            </w:tcMar>
            <w:vAlign w:val="top"/>
          </w:tcPr>
          <w:p>
            <w:pPr>
              <w:spacing w:after="0" w:before="0" w:line="252"/>
            </w:pPr>
            <w:r>
              <w:rPr>
                <w:sz w:val="17"/>
                <w:szCs w:val="17"/>
              </w:rPr>
              <w:t xml:space="preserve">Silence, which teaches staff that reporting is pointless</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08" w:id="1"/>
      <w:r>
        <w:t xml:space="preserve">3.2  Route requirements</w:t>
      </w:r>
      <w:bookmarkEnd w:id="1"/>
    </w:p>
    <w:p>
      <w:pPr>
        <w:spacing w:after="130" w:line="262"/>
      </w:pPr>
      <w:r>
        <w:t xml:space="preserve">The organization shall maintain a reporting route that meets each of the following requirements. Each is tested by this procedure and each failure is recorded as a finding.</w:t>
      </w:r>
    </w:p>
    <w:p>
      <w:pPr>
        <w:pStyle w:val="ListParagraph"/>
        <w:numPr>
          <w:ilvl w:val="0"/>
          <w:numId w:val="3"/>
        </w:numPr>
        <w:spacing w:after="60" w:line="262"/>
      </w:pPr>
      <w:r>
        <w:t xml:space="preserve">A sanctioned reporting channel is available in every mail client staff are permitted to use, including mobile clients and web mail.</w:t>
      </w:r>
    </w:p>
    <w:p>
      <w:pPr>
        <w:pStyle w:val="ListParagraph"/>
        <w:numPr>
          <w:ilvl w:val="0"/>
          <w:numId w:val="3"/>
        </w:numPr>
        <w:spacing w:after="60" w:line="262"/>
      </w:pPr>
      <w:r>
        <w:t xml:space="preserve">Staff are told, in writing and at induction, what the sanctioned channel is, what to do if they have already clicked or entered credentials, and that reporting a click will never lead to disciplinary action.</w:t>
      </w:r>
    </w:p>
    <w:p>
      <w:pPr>
        <w:pStyle w:val="ListParagraph"/>
        <w:numPr>
          <w:ilvl w:val="0"/>
          <w:numId w:val="3"/>
        </w:numPr>
        <w:spacing w:after="60" w:line="262"/>
      </w:pPr>
      <w:r>
        <w:t xml:space="preserve">Reports arrive at the destination with the original message intact and are excluded from spam, phishing and data loss prevention filtering at the destination.</w:t>
      </w:r>
    </w:p>
    <w:p>
      <w:pPr>
        <w:pStyle w:val="ListParagraph"/>
        <w:numPr>
          <w:ilvl w:val="0"/>
          <w:numId w:val="3"/>
        </w:numPr>
        <w:spacing w:after="60" w:line="262"/>
      </w:pPr>
      <w:r>
        <w:t xml:space="preserve">The destination has a named owner and a named deputy.</w:t>
      </w:r>
    </w:p>
    <w:p>
      <w:pPr>
        <w:pStyle w:val="ListParagraph"/>
        <w:numPr>
          <w:ilvl w:val="0"/>
          <w:numId w:val="3"/>
        </w:numPr>
        <w:spacing w:after="60" w:line="262"/>
      </w:pPr>
      <w:r>
        <w:t xml:space="preserve">The destination is read during working hours at intervals of not more than 30 minutes, or alerts a named responder when a report arrives.</w:t>
      </w:r>
    </w:p>
    <w:p>
      <w:pPr>
        <w:pStyle w:val="ListParagraph"/>
        <w:numPr>
          <w:ilvl w:val="0"/>
          <w:numId w:val="3"/>
        </w:numPr>
        <w:spacing w:after="60" w:line="262"/>
      </w:pPr>
      <w:r>
        <w:t xml:space="preserve">Outside working hours, a report that meets the out-of-hours escalation criteria in section 3.3 reaches a named on-call person or a contracted provider within 60 minutes.</w:t>
      </w:r>
    </w:p>
    <w:p>
      <w:pPr>
        <w:pStyle w:val="ListParagraph"/>
        <w:numPr>
          <w:ilvl w:val="0"/>
          <w:numId w:val="3"/>
        </w:numPr>
        <w:spacing w:after="60" w:line="262"/>
      </w:pPr>
      <w:r>
        <w:t xml:space="preserve">Written triage criteria exist and are used for every report.</w:t>
      </w:r>
    </w:p>
    <w:p>
      <w:pPr>
        <w:pStyle w:val="ListParagraph"/>
        <w:numPr>
          <w:ilvl w:val="0"/>
          <w:numId w:val="3"/>
        </w:numPr>
        <w:spacing w:after="60" w:line="262"/>
      </w:pPr>
      <w:r>
        <w:t xml:space="preserve">At least two named people, not on leave at the same time, hold the permissions needed to carry out every containment action in section 3.4.</w:t>
      </w:r>
    </w:p>
    <w:p>
      <w:pPr>
        <w:pStyle w:val="ListParagraph"/>
        <w:numPr>
          <w:ilvl w:val="0"/>
          <w:numId w:val="3"/>
        </w:numPr>
        <w:spacing w:after="60" w:line="262"/>
      </w:pPr>
      <w:r>
        <w:t xml:space="preserve">Every report receives an acknowledgment to the reporter within one working day, and a closing message stating the outcome.</w:t>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THE TEST THAT MATTERS MOST</w:t>
            </w:r>
          </w:p>
          <w:p>
            <w:pPr>
              <w:spacing w:after="0" w:line="262"/>
            </w:pPr>
            <w:r>
              <w:t xml:space="preserve">If only one part of this procedure is adopted, adopt the planted report in section 5. It takes under an hour, needs no staff, and answers the question no click-rate report can: if somebody reported a real phishing email right now, would anyone who could act on it find out?</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09" w:id="1"/>
      <w:r>
        <w:t xml:space="preserve">3.3  Triage criteria</w:t>
      </w:r>
      <w:bookmarkEnd w:id="1"/>
    </w:p>
    <w:p>
      <w:pPr>
        <w:spacing w:after="130" w:line="262"/>
      </w:pPr>
      <w:r>
        <w:t xml:space="preserve">The responder classifies each report against the following criteria and records the classification, the time and the action taken in the report log.</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949"/>
        <w:gridCol w:w="3118"/>
        <w:gridCol w:w="2923"/>
        <w:gridCol w:w="1756"/>
      </w:tblGrid>
      <w:tr>
        <w:trPr>
          <w:cantSplit/>
          <w:tblHeader/>
        </w:trPr>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Classification</w:t>
            </w:r>
          </w:p>
        </w:tc>
        <w:tc>
          <w:tcPr>
            <w:tcW w:type="dxa" w:w="311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Criteria</w:t>
            </w:r>
          </w:p>
        </w:tc>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Required action</w:t>
            </w:r>
          </w:p>
        </w:tc>
        <w:tc>
          <w:tcPr>
            <w:tcW w:type="dxa" w:w="17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Out-of-hours escalation</w:t>
            </w:r>
          </w:p>
        </w:tc>
      </w:tr>
      <w:tr>
        <w:trPr>
          <w:cantSplit/>
        </w:trPr>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Malicious, credential exposure possible</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Malicious link or attachment, and the reporter or anyone else may have entered credentials, opened the attachment or approved a sign-in prompt</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All containment actions in section 3.4, including credential reset and session revocation for affected accounts</w:t>
            </w:r>
          </w:p>
        </w:tc>
        <w:tc>
          <w:tcPr>
            <w:tcW w:type="dxa" w:w="1756"/>
            <w:shd w:fill="FFFFFF" w:color="auto" w:val="clear"/>
            <w:tcMar>
              <w:top w:type="dxa" w:w="70"/>
              <w:left w:type="dxa" w:w="100"/>
              <w:bottom w:type="dxa" w:w="70"/>
              <w:right w:type="dxa" w:w="100"/>
            </w:tcMar>
            <w:vAlign w:val="top"/>
          </w:tcPr>
          <w:p>
            <w:pPr>
              <w:spacing w:after="0" w:before="0" w:line="252"/>
            </w:pPr>
            <w:r>
              <w:rPr>
                <w:sz w:val="17"/>
                <w:szCs w:val="17"/>
              </w:rPr>
              <w:t xml:space="preserve">Yes, immediately</w:t>
            </w:r>
          </w:p>
        </w:tc>
      </w:tr>
      <w:tr>
        <w:trPr>
          <w:cantSplit/>
        </w:trPr>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Malicious, no known interaction</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Malicious link, attachment, impersonation or payment redirection request, with no known interaction</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Search and remove from all mailboxes, block sender and indicators, check sign-in logs of recipients for the delivery window</w:t>
            </w:r>
          </w:p>
        </w:tc>
        <w:tc>
          <w:tcPr>
            <w:tcW w:type="dxa" w:w="1756"/>
            <w:shd w:fill="F2F4F6" w:color="auto" w:val="clear"/>
            <w:tcMar>
              <w:top w:type="dxa" w:w="70"/>
              <w:left w:type="dxa" w:w="100"/>
              <w:bottom w:type="dxa" w:w="70"/>
              <w:right w:type="dxa" w:w="100"/>
            </w:tcMar>
            <w:vAlign w:val="top"/>
          </w:tcPr>
          <w:p>
            <w:pPr>
              <w:spacing w:after="0" w:before="0" w:line="252"/>
            </w:pPr>
            <w:r>
              <w:rPr>
                <w:sz w:val="17"/>
                <w:szCs w:val="17"/>
              </w:rPr>
              <w:t xml:space="preserve">Yes, where the message reached more than 10 recipients or any privileged or finance account</w:t>
            </w:r>
          </w:p>
        </w:tc>
      </w:tr>
      <w:tr>
        <w:trPr>
          <w:cantSplit/>
        </w:trPr>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Suspicious, unconfirmed</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Indicators present but not conclusive</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Hold for analysis within 4 working hours; search for other recipients meanwhile</w:t>
            </w:r>
          </w:p>
        </w:tc>
        <w:tc>
          <w:tcPr>
            <w:tcW w:type="dxa" w:w="1756"/>
            <w:shd w:fill="FFFFFF" w:color="auto" w:val="clear"/>
            <w:tcMar>
              <w:top w:type="dxa" w:w="70"/>
              <w:left w:type="dxa" w:w="100"/>
              <w:bottom w:type="dxa" w:w="70"/>
              <w:right w:type="dxa" w:w="100"/>
            </w:tcMar>
            <w:vAlign w:val="top"/>
          </w:tcPr>
          <w:p>
            <w:pPr>
              <w:spacing w:after="0" w:before="0" w:line="252"/>
            </w:pPr>
            <w:r>
              <w:rPr>
                <w:sz w:val="17"/>
                <w:szCs w:val="17"/>
              </w:rPr>
              <w:t xml:space="preserve">No</w:t>
            </w:r>
          </w:p>
        </w:tc>
      </w:tr>
      <w:tr>
        <w:trPr>
          <w:cantSplit/>
        </w:trPr>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Simulation</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Matches an authorized simulation identifier</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Record as a correct report, thank the reporter</w:t>
            </w:r>
          </w:p>
        </w:tc>
        <w:tc>
          <w:tcPr>
            <w:tcW w:type="dxa" w:w="1756"/>
            <w:shd w:fill="F2F4F6" w:color="auto" w:val="clear"/>
            <w:tcMar>
              <w:top w:type="dxa" w:w="70"/>
              <w:left w:type="dxa" w:w="100"/>
              <w:bottom w:type="dxa" w:w="70"/>
              <w:right w:type="dxa" w:w="100"/>
            </w:tcMar>
            <w:vAlign w:val="top"/>
          </w:tcPr>
          <w:p>
            <w:pPr>
              <w:spacing w:after="0" w:before="0" w:line="252"/>
            </w:pPr>
            <w:r>
              <w:rPr>
                <w:sz w:val="17"/>
                <w:szCs w:val="17"/>
              </w:rPr>
              <w:t xml:space="preserve">No</w:t>
            </w:r>
          </w:p>
        </w:tc>
      </w:tr>
      <w:tr>
        <w:trPr>
          <w:cantSplit/>
        </w:trPr>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Spam or legitimate</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Unwanted marketing, or a genuine message</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Close with feedback to reporter explaining the classification</w:t>
            </w:r>
          </w:p>
        </w:tc>
        <w:tc>
          <w:tcPr>
            <w:tcW w:type="dxa" w:w="1756"/>
            <w:shd w:fill="FFFFFF" w:color="auto" w:val="clear"/>
            <w:tcMar>
              <w:top w:type="dxa" w:w="70"/>
              <w:left w:type="dxa" w:w="100"/>
              <w:bottom w:type="dxa" w:w="70"/>
              <w:right w:type="dxa" w:w="100"/>
            </w:tcMar>
            <w:vAlign w:val="top"/>
          </w:tcPr>
          <w:p>
            <w:pPr>
              <w:spacing w:after="0" w:before="0" w:line="252"/>
            </w:pPr>
            <w:r>
              <w:rPr>
                <w:sz w:val="17"/>
                <w:szCs w:val="17"/>
              </w:rPr>
              <w:t xml:space="preserve">No</w:t>
            </w:r>
          </w:p>
        </w:tc>
      </w:tr>
    </w:tbl>
    <w:p>
      <w:pPr>
        <w:spacing w:after="120" w:line="120"/>
      </w:pPr>
      <w:r>
        <w:rPr>
          <w:sz w:val="4"/>
          <w:szCs w:val="4"/>
        </w:rPr>
        <w:t xml:space="preserve"/>
      </w:r>
    </w:p>
    <w:p>
      <w:pPr>
        <w:spacing w:after="130" w:line="262"/>
      </w:pPr>
      <w:r>
        <w:t xml:space="preserve">Any report from a member of staff who states they clicked, opened an attachment, entered credentials or approved a multi-factor prompt is treated as the first classification until shown otherwise.</w:t>
      </w:r>
    </w:p>
    <w:p>
      <w:pPr>
        <w:spacing w:after="60" w:line="120"/>
      </w:pPr>
      <w:r>
        <w:rPr>
          <w:sz w:val="4"/>
          <w:szCs w:val="4"/>
        </w:rPr>
        <w:t xml:space="preserve"/>
      </w:r>
    </w:p>
    <w:p>
      <w:pPr>
        <w:pStyle w:val="Heading2"/>
        <w:keepNext/>
        <w:keepLines/>
        <w:spacing w:after="90" w:before="220"/>
      </w:pPr>
      <w:bookmarkStart w:name="_RG0010" w:id="1"/>
      <w:r>
        <w:t xml:space="preserve">3.4  Containment actions and the tools to carry them out</w:t>
      </w:r>
      <w:bookmarkEnd w:id="1"/>
    </w:p>
    <w:p>
      <w:pPr>
        <w:spacing w:after="130" w:line="262"/>
      </w:pPr>
      <w:r>
        <w:t xml:space="preserve">The route is only complete if the responder can carry out each of the following actions. For each, the route map records the tool used, the people who hold the permission and whether it has been exercised in the last 12 months.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339"/>
        <w:gridCol w:w="3703"/>
        <w:gridCol w:w="3704"/>
      </w:tblGrid>
      <w:tr>
        <w:trPr>
          <w:cantSplit/>
          <w:tblHeader/>
        </w:trPr>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w:t>
            </w:r>
          </w:p>
        </w:tc>
        <w:tc>
          <w:tcPr>
            <w:tcW w:type="dxa" w:w="370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What it achieves</w:t>
            </w:r>
          </w:p>
        </w:tc>
        <w:tc>
          <w:tcPr>
            <w:tcW w:type="dxa" w:w="370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Capability required</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Search across mailboxes</w:t>
            </w:r>
          </w:p>
        </w:tc>
        <w:tc>
          <w:tcPr>
            <w:tcW w:type="dxa" w:w="3703"/>
            <w:shd w:fill="FFFFFF" w:color="auto" w:val="clear"/>
            <w:tcMar>
              <w:top w:type="dxa" w:w="70"/>
              <w:left w:type="dxa" w:w="100"/>
              <w:bottom w:type="dxa" w:w="70"/>
              <w:right w:type="dxa" w:w="100"/>
            </w:tcMar>
            <w:vAlign w:val="top"/>
          </w:tcPr>
          <w:p>
            <w:pPr>
              <w:spacing w:after="0" w:before="0" w:line="252"/>
            </w:pPr>
            <w:r>
              <w:rPr>
                <w:sz w:val="17"/>
                <w:szCs w:val="17"/>
              </w:rPr>
              <w:t xml:space="preserve">Finds every copy of the reported message and close variants (same sender, subject, URL or attachment hash) in every mailbox</w:t>
            </w:r>
          </w:p>
        </w:tc>
        <w:tc>
          <w:tcPr>
            <w:tcW w:type="dxa" w:w="3704"/>
            <w:shd w:fill="FFFFFF" w:color="auto" w:val="clear"/>
            <w:tcMar>
              <w:top w:type="dxa" w:w="70"/>
              <w:left w:type="dxa" w:w="100"/>
              <w:bottom w:type="dxa" w:w="70"/>
              <w:right w:type="dxa" w:w="100"/>
            </w:tcMar>
            <w:vAlign w:val="top"/>
          </w:tcPr>
          <w:p>
            <w:pPr>
              <w:spacing w:after="0" w:before="0" w:line="252"/>
            </w:pPr>
            <w:r>
              <w:rPr>
                <w:sz w:val="17"/>
                <w:szCs w:val="17"/>
              </w:rPr>
              <w:t xml:space="preserve">Organization-wide message trace or content search, with the delivery window and indicators as criteria</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Remove from mailboxes (purge)</w:t>
            </w:r>
          </w:p>
        </w:tc>
        <w:tc>
          <w:tcPr>
            <w:tcW w:type="dxa" w:w="3703"/>
            <w:shd w:fill="F2F4F6" w:color="auto" w:val="clear"/>
            <w:tcMar>
              <w:top w:type="dxa" w:w="70"/>
              <w:left w:type="dxa" w:w="100"/>
              <w:bottom w:type="dxa" w:w="70"/>
              <w:right w:type="dxa" w:w="100"/>
            </w:tcMar>
            <w:vAlign w:val="top"/>
          </w:tcPr>
          <w:p>
            <w:pPr>
              <w:spacing w:after="0" w:before="0" w:line="252"/>
            </w:pPr>
            <w:r>
              <w:rPr>
                <w:sz w:val="17"/>
                <w:szCs w:val="17"/>
              </w:rPr>
              <w:t xml:space="preserve">Takes the message out of every inbox before more recipients open it</w:t>
            </w:r>
          </w:p>
        </w:tc>
        <w:tc>
          <w:tcPr>
            <w:tcW w:type="dxa" w:w="3704"/>
            <w:shd w:fill="F2F4F6" w:color="auto" w:val="clear"/>
            <w:tcMar>
              <w:top w:type="dxa" w:w="70"/>
              <w:left w:type="dxa" w:w="100"/>
              <w:bottom w:type="dxa" w:w="70"/>
              <w:right w:type="dxa" w:w="100"/>
            </w:tcMar>
            <w:vAlign w:val="top"/>
          </w:tcPr>
          <w:p>
            <w:pPr>
              <w:spacing w:after="0" w:before="0" w:line="252"/>
            </w:pPr>
            <w:r>
              <w:rPr>
                <w:sz w:val="17"/>
                <w:szCs w:val="17"/>
              </w:rPr>
              <w:t xml:space="preserve">Organization-wide removal by message identifier or search query, with an audit record of how many copies were removed</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Block sender, domain, URL and attachment</w:t>
            </w:r>
          </w:p>
        </w:tc>
        <w:tc>
          <w:tcPr>
            <w:tcW w:type="dxa" w:w="3703"/>
            <w:shd w:fill="FFFFFF" w:color="auto" w:val="clear"/>
            <w:tcMar>
              <w:top w:type="dxa" w:w="70"/>
              <w:left w:type="dxa" w:w="100"/>
              <w:bottom w:type="dxa" w:w="70"/>
              <w:right w:type="dxa" w:w="100"/>
            </w:tcMar>
            <w:vAlign w:val="top"/>
          </w:tcPr>
          <w:p>
            <w:pPr>
              <w:spacing w:after="0" w:before="0" w:line="252"/>
            </w:pPr>
            <w:r>
              <w:rPr>
                <w:sz w:val="17"/>
                <w:szCs w:val="17"/>
              </w:rPr>
              <w:t xml:space="preserve">Stops further delivery of the same campaign and stops clicks on links already delivered</w:t>
            </w:r>
          </w:p>
        </w:tc>
        <w:tc>
          <w:tcPr>
            <w:tcW w:type="dxa" w:w="3704"/>
            <w:shd w:fill="FFFFFF" w:color="auto" w:val="clear"/>
            <w:tcMar>
              <w:top w:type="dxa" w:w="70"/>
              <w:left w:type="dxa" w:w="100"/>
              <w:bottom w:type="dxa" w:w="70"/>
              <w:right w:type="dxa" w:w="100"/>
            </w:tcMar>
            <w:vAlign w:val="top"/>
          </w:tcPr>
          <w:p>
            <w:pPr>
              <w:spacing w:after="0" w:before="0" w:line="252"/>
            </w:pPr>
            <w:r>
              <w:rPr>
                <w:sz w:val="17"/>
                <w:szCs w:val="17"/>
              </w:rPr>
              <w:t xml:space="preserve">Mail platform block lists or tenant block entries for sender addresses, domains, URLs and file hashes; web filtering where present</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Reset credentials</w:t>
            </w:r>
          </w:p>
        </w:tc>
        <w:tc>
          <w:tcPr>
            <w:tcW w:type="dxa" w:w="3703"/>
            <w:shd w:fill="F2F4F6" w:color="auto" w:val="clear"/>
            <w:tcMar>
              <w:top w:type="dxa" w:w="70"/>
              <w:left w:type="dxa" w:w="100"/>
              <w:bottom w:type="dxa" w:w="70"/>
              <w:right w:type="dxa" w:w="100"/>
            </w:tcMar>
            <w:vAlign w:val="top"/>
          </w:tcPr>
          <w:p>
            <w:pPr>
              <w:spacing w:after="0" w:before="0" w:line="252"/>
            </w:pPr>
            <w:r>
              <w:rPr>
                <w:sz w:val="17"/>
                <w:szCs w:val="17"/>
              </w:rPr>
              <w:t xml:space="preserve">Invalidates any password entered on a phishing page</w:t>
            </w:r>
          </w:p>
        </w:tc>
        <w:tc>
          <w:tcPr>
            <w:tcW w:type="dxa" w:w="3704"/>
            <w:shd w:fill="F2F4F6" w:color="auto" w:val="clear"/>
            <w:tcMar>
              <w:top w:type="dxa" w:w="70"/>
              <w:left w:type="dxa" w:w="100"/>
              <w:bottom w:type="dxa" w:w="70"/>
              <w:right w:type="dxa" w:w="100"/>
            </w:tcMar>
            <w:vAlign w:val="top"/>
          </w:tcPr>
          <w:p>
            <w:pPr>
              <w:spacing w:after="0" w:before="0" w:line="252"/>
            </w:pPr>
            <w:r>
              <w:rPr>
                <w:sz w:val="17"/>
                <w:szCs w:val="17"/>
              </w:rPr>
              <w:t xml:space="preserve">Administrative password reset in the identity provider, with the account forced to set a new password at next sign-in</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Revoke sessions</w:t>
            </w:r>
          </w:p>
        </w:tc>
        <w:tc>
          <w:tcPr>
            <w:tcW w:type="dxa" w:w="3703"/>
            <w:shd w:fill="FFFFFF" w:color="auto" w:val="clear"/>
            <w:tcMar>
              <w:top w:type="dxa" w:w="70"/>
              <w:left w:type="dxa" w:w="100"/>
              <w:bottom w:type="dxa" w:w="70"/>
              <w:right w:type="dxa" w:w="100"/>
            </w:tcMar>
            <w:vAlign w:val="top"/>
          </w:tcPr>
          <w:p>
            <w:pPr>
              <w:spacing w:after="0" w:before="0" w:line="252"/>
            </w:pPr>
            <w:r>
              <w:rPr>
                <w:sz w:val="17"/>
                <w:szCs w:val="17"/>
              </w:rPr>
              <w:t xml:space="preserve">Ends sessions and tokens already obtained with stolen credentials</w:t>
            </w:r>
          </w:p>
        </w:tc>
        <w:tc>
          <w:tcPr>
            <w:tcW w:type="dxa" w:w="3704"/>
            <w:shd w:fill="FFFFFF" w:color="auto" w:val="clear"/>
            <w:tcMar>
              <w:top w:type="dxa" w:w="70"/>
              <w:left w:type="dxa" w:w="100"/>
              <w:bottom w:type="dxa" w:w="70"/>
              <w:right w:type="dxa" w:w="100"/>
            </w:tcMar>
            <w:vAlign w:val="top"/>
          </w:tcPr>
          <w:p>
            <w:pPr>
              <w:spacing w:after="0" w:before="0" w:line="252"/>
            </w:pPr>
            <w:r>
              <w:rPr>
                <w:sz w:val="17"/>
                <w:szCs w:val="17"/>
              </w:rPr>
              <w:t xml:space="preserve">Session and refresh token revocation in the identity provider; review of any mailbox rules, forwarding or registered authentication methods added since delivery</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Review sign-in activity</w:t>
            </w:r>
          </w:p>
        </w:tc>
        <w:tc>
          <w:tcPr>
            <w:tcW w:type="dxa" w:w="3703"/>
            <w:shd w:fill="F2F4F6" w:color="auto" w:val="clear"/>
            <w:tcMar>
              <w:top w:type="dxa" w:w="70"/>
              <w:left w:type="dxa" w:w="100"/>
              <w:bottom w:type="dxa" w:w="70"/>
              <w:right w:type="dxa" w:w="100"/>
            </w:tcMar>
            <w:vAlign w:val="top"/>
          </w:tcPr>
          <w:p>
            <w:pPr>
              <w:spacing w:after="0" w:before="0" w:line="252"/>
            </w:pPr>
            <w:r>
              <w:rPr>
                <w:sz w:val="17"/>
                <w:szCs w:val="17"/>
              </w:rPr>
              <w:t xml:space="preserve">Establishes whether exposed credentials were used</w:t>
            </w:r>
          </w:p>
        </w:tc>
        <w:tc>
          <w:tcPr>
            <w:tcW w:type="dxa" w:w="3704"/>
            <w:shd w:fill="F2F4F6" w:color="auto" w:val="clear"/>
            <w:tcMar>
              <w:top w:type="dxa" w:w="70"/>
              <w:left w:type="dxa" w:w="100"/>
              <w:bottom w:type="dxa" w:w="70"/>
              <w:right w:type="dxa" w:w="100"/>
            </w:tcMar>
            <w:vAlign w:val="top"/>
          </w:tcPr>
          <w:p>
            <w:pPr>
              <w:spacing w:after="0" w:before="0" w:line="252"/>
            </w:pPr>
            <w:r>
              <w:rPr>
                <w:sz w:val="17"/>
                <w:szCs w:val="17"/>
              </w:rPr>
              <w:t xml:space="preserve">Sign-in logs for the affected accounts from the delivery time onward</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Notify staff</w:t>
            </w:r>
          </w:p>
        </w:tc>
        <w:tc>
          <w:tcPr>
            <w:tcW w:type="dxa" w:w="3703"/>
            <w:shd w:fill="FFFFFF" w:color="auto" w:val="clear"/>
            <w:tcMar>
              <w:top w:type="dxa" w:w="70"/>
              <w:left w:type="dxa" w:w="100"/>
              <w:bottom w:type="dxa" w:w="70"/>
              <w:right w:type="dxa" w:w="100"/>
            </w:tcMar>
            <w:vAlign w:val="top"/>
          </w:tcPr>
          <w:p>
            <w:pPr>
              <w:spacing w:after="0" w:before="0" w:line="252"/>
            </w:pPr>
            <w:r>
              <w:rPr>
                <w:sz w:val="17"/>
                <w:szCs w:val="17"/>
              </w:rPr>
              <w:t xml:space="preserve">Warns recipients who have not yet acted</w:t>
            </w:r>
          </w:p>
        </w:tc>
        <w:tc>
          <w:tcPr>
            <w:tcW w:type="dxa" w:w="3704"/>
            <w:shd w:fill="FFFFFF" w:color="auto" w:val="clear"/>
            <w:tcMar>
              <w:top w:type="dxa" w:w="70"/>
              <w:left w:type="dxa" w:w="100"/>
              <w:bottom w:type="dxa" w:w="70"/>
              <w:right w:type="dxa" w:w="100"/>
            </w:tcMar>
            <w:vAlign w:val="top"/>
          </w:tcPr>
          <w:p>
            <w:pPr>
              <w:spacing w:after="0" w:before="0" w:line="252"/>
            </w:pPr>
            <w:r>
              <w:rPr>
                <w:sz w:val="17"/>
                <w:szCs w:val="17"/>
              </w:rPr>
              <w:t xml:space="preserve">A message to affected recipients or all staff through an approved channel</w:t>
            </w:r>
          </w:p>
        </w:tc>
      </w:tr>
    </w:tbl>
    <w:p>
      <w:pPr>
        <w:spacing w:after="120" w:line="120"/>
      </w:pPr>
      <w:r>
        <w:rPr>
          <w:sz w:val="4"/>
          <w:szCs w:val="4"/>
        </w:rPr>
        <w:t xml:space="preserve"/>
      </w:r>
    </w:p>
    <w:p>
      <w:pPr>
        <w:spacing w:after="130" w:line="262"/>
      </w:pPr>
      <w:r>
        <w:t xml:space="preserve">Session revocation does not always end access immediately. In Microsoft Entra ID, for example, revoking sessions invalidates refresh tokens so no new tokens can be obtained, but an access token already issued remains valid until it expires, by default up to one hour, unless the application supports continuous access evaluation. Responders shall therefore also disable the account where active misuse is suspected, and shall check for persistence such as new inbox rules, forwarding addresses, registered authentication methods and application consents.</w:t>
      </w:r>
    </w:p>
    <w:p>
      <w:pPr>
        <w:spacing w:after="60" w:line="120"/>
      </w:pPr>
      <w:r>
        <w:rPr>
          <w:sz w:val="4"/>
          <w:szCs w:val="4"/>
        </w:rPr>
        <w:t xml:space="preserve"/>
      </w:r>
    </w:p>
    <w:p>
      <w:pPr>
        <w:pStyle w:val="Heading1"/>
        <w:keepNext/>
        <w:keepLines/>
        <w:pBdr>
          <w:bottom w:val="single" w:color="D4DAE0" w:sz="4" w:space="4"/>
        </w:pBdr>
        <w:spacing w:after="140" w:before="300"/>
      </w:pPr>
      <w:bookmarkStart w:name="_RG0011" w:id="1"/>
      <w:r>
        <w:t xml:space="preserve">4.  Authorization, scope and ethics</w:t>
      </w:r>
      <w:bookmarkEnd w:id="1"/>
    </w:p>
    <w:p>
      <w:pPr>
        <w:spacing w:after="130" w:line="262"/>
      </w:pPr>
      <w:r>
        <w:t xml:space="preserve">A phishing test involves sending deceptive email to staff and planting reports in a security queue. Without written authorization it is indistinguishable from an attack, and responders who act on it in good faith may cause harm outside the organization. No part of this procedure is carried out without the authorization described here.</w:t>
      </w:r>
    </w:p>
    <w:p>
      <w:pPr>
        <w:spacing w:after="60" w:line="120"/>
      </w:pPr>
      <w:r>
        <w:rPr>
          <w:sz w:val="4"/>
          <w:szCs w:val="4"/>
        </w:rPr>
        <w:t xml:space="preserve"/>
      </w:r>
    </w:p>
    <w:p>
      <w:pPr>
        <w:pStyle w:val="Heading2"/>
        <w:keepNext/>
        <w:keepLines/>
        <w:spacing w:after="90" w:before="220"/>
      </w:pPr>
      <w:bookmarkStart w:name="_RG0012" w:id="1"/>
      <w:r>
        <w:t xml:space="preserve">4.1  Authorization</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5165"/>
        <w:gridCol w:w="1656"/>
        <w:gridCol w:w="2438"/>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16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6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43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165"/>
            <w:shd w:fill="FFFFFF" w:color="auto" w:val="clear"/>
            <w:tcMar>
              <w:top w:type="dxa" w:w="70"/>
              <w:left w:type="dxa" w:w="100"/>
              <w:bottom w:type="dxa" w:w="70"/>
              <w:right w:type="dxa" w:w="100"/>
            </w:tcMar>
            <w:vAlign w:val="top"/>
          </w:tcPr>
          <w:p>
            <w:pPr>
              <w:spacing w:after="0" w:before="0" w:line="252"/>
            </w:pPr>
            <w:r>
              <w:rPr>
                <w:sz w:val="17"/>
                <w:szCs w:val="17"/>
              </w:rPr>
              <w:t xml:space="preserve">Prepare the test plan: scope, window, scenarios with difficulty ratings, exclusions, deconfliction contact, data to be collected and its retention</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438"/>
            <w:shd w:fill="FFFFFF" w:color="auto" w:val="clear"/>
            <w:tcMar>
              <w:top w:type="dxa" w:w="70"/>
              <w:left w:type="dxa" w:w="100"/>
              <w:bottom w:type="dxa" w:w="70"/>
              <w:right w:type="dxa" w:w="100"/>
            </w:tcMar>
            <w:vAlign w:val="top"/>
          </w:tcPr>
          <w:p>
            <w:pPr>
              <w:spacing w:after="0" w:before="0" w:line="252"/>
            </w:pPr>
            <w:r>
              <w:rPr>
                <w:sz w:val="17"/>
                <w:szCs w:val="17"/>
              </w:rPr>
              <w:t xml:space="preserve">Draft test plan</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165"/>
            <w:shd w:fill="F2F4F6" w:color="auto" w:val="clear"/>
            <w:tcMar>
              <w:top w:type="dxa" w:w="70"/>
              <w:left w:type="dxa" w:w="100"/>
              <w:bottom w:type="dxa" w:w="70"/>
              <w:right w:type="dxa" w:w="100"/>
            </w:tcMar>
            <w:vAlign w:val="top"/>
          </w:tcPr>
          <w:p>
            <w:pPr>
              <w:spacing w:after="0" w:before="0" w:line="252"/>
            </w:pPr>
            <w:r>
              <w:rPr>
                <w:sz w:val="17"/>
                <w:szCs w:val="17"/>
              </w:rPr>
              <w:t xml:space="preserve">Obtain legal review of the plan, including employment, privacy and monitoring obligations in each jurisdiction where staff are located and any works council or collective agreement requirements</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Legal counsel</w:t>
            </w:r>
          </w:p>
        </w:tc>
        <w:tc>
          <w:tcPr>
            <w:tcW w:type="dxa" w:w="2438"/>
            <w:shd w:fill="F2F4F6" w:color="auto" w:val="clear"/>
            <w:tcMar>
              <w:top w:type="dxa" w:w="70"/>
              <w:left w:type="dxa" w:w="100"/>
              <w:bottom w:type="dxa" w:w="70"/>
              <w:right w:type="dxa" w:w="100"/>
            </w:tcMar>
            <w:vAlign w:val="top"/>
          </w:tcPr>
          <w:p>
            <w:pPr>
              <w:spacing w:after="0" w:before="0" w:line="252"/>
            </w:pPr>
            <w:r>
              <w:rPr>
                <w:sz w:val="17"/>
                <w:szCs w:val="17"/>
              </w:rPr>
              <w:t xml:space="preserve">Legal review note on the authorization form</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165"/>
            <w:shd w:fill="FFFFFF" w:color="auto" w:val="clear"/>
            <w:tcMar>
              <w:top w:type="dxa" w:w="70"/>
              <w:left w:type="dxa" w:w="100"/>
              <w:bottom w:type="dxa" w:w="70"/>
              <w:right w:type="dxa" w:w="100"/>
            </w:tcMar>
            <w:vAlign w:val="top"/>
          </w:tcPr>
          <w:p>
            <w:pPr>
              <w:spacing w:after="0" w:before="0" w:line="252"/>
            </w:pPr>
            <w:r>
              <w:rPr>
                <w:sz w:val="17"/>
                <w:szCs w:val="17"/>
              </w:rPr>
              <w:t xml:space="preserve">Obtain human resources review confirming that no result will be used for discipline or performance assessment and that excluded populations are correctly identified</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Head of human resources</w:t>
            </w:r>
          </w:p>
        </w:tc>
        <w:tc>
          <w:tcPr>
            <w:tcW w:type="dxa" w:w="2438"/>
            <w:shd w:fill="FFFFFF" w:color="auto" w:val="clear"/>
            <w:tcMar>
              <w:top w:type="dxa" w:w="70"/>
              <w:left w:type="dxa" w:w="100"/>
              <w:bottom w:type="dxa" w:w="70"/>
              <w:right w:type="dxa" w:w="100"/>
            </w:tcMar>
            <w:vAlign w:val="top"/>
          </w:tcPr>
          <w:p>
            <w:pPr>
              <w:spacing w:after="0" w:before="0" w:line="252"/>
            </w:pPr>
            <w:r>
              <w:rPr>
                <w:sz w:val="17"/>
                <w:szCs w:val="17"/>
              </w:rPr>
              <w:t xml:space="preserve">HR review note on the authorization form</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165"/>
            <w:shd w:fill="F2F4F6" w:color="auto" w:val="clear"/>
            <w:tcMar>
              <w:top w:type="dxa" w:w="70"/>
              <w:left w:type="dxa" w:w="100"/>
              <w:bottom w:type="dxa" w:w="70"/>
              <w:right w:type="dxa" w:w="100"/>
            </w:tcMar>
            <w:vAlign w:val="top"/>
          </w:tcPr>
          <w:p>
            <w:pPr>
              <w:spacing w:after="0" w:before="0" w:line="252"/>
            </w:pPr>
            <w:r>
              <w:rPr>
                <w:sz w:val="17"/>
                <w:szCs w:val="17"/>
              </w:rPr>
              <w:t xml:space="preserve">Obtain signed authorization from a senior sponsor with authority over both the mail platform and the staff population in scope</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Senior sponsor</w:t>
            </w:r>
          </w:p>
        </w:tc>
        <w:tc>
          <w:tcPr>
            <w:tcW w:type="dxa" w:w="2438"/>
            <w:shd w:fill="F2F4F6" w:color="auto" w:val="clear"/>
            <w:tcMar>
              <w:top w:type="dxa" w:w="70"/>
              <w:left w:type="dxa" w:w="100"/>
              <w:bottom w:type="dxa" w:w="70"/>
              <w:right w:type="dxa" w:w="100"/>
            </w:tcMar>
            <w:vAlign w:val="top"/>
          </w:tcPr>
          <w:p>
            <w:pPr>
              <w:spacing w:after="0" w:before="0" w:line="252"/>
            </w:pPr>
            <w:r>
              <w:rPr>
                <w:sz w:val="17"/>
                <w:szCs w:val="17"/>
              </w:rPr>
              <w:t xml:space="preserve">Signed test authorization form, Appendix A</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165"/>
            <w:shd w:fill="FFFFFF" w:color="auto" w:val="clear"/>
            <w:tcMar>
              <w:top w:type="dxa" w:w="70"/>
              <w:left w:type="dxa" w:w="100"/>
              <w:bottom w:type="dxa" w:w="70"/>
              <w:right w:type="dxa" w:w="100"/>
            </w:tcMar>
            <w:vAlign w:val="top"/>
          </w:tcPr>
          <w:p>
            <w:pPr>
              <w:spacing w:after="0" w:before="0" w:line="252"/>
            </w:pPr>
            <w:r>
              <w:rPr>
                <w:sz w:val="17"/>
                <w:szCs w:val="17"/>
              </w:rPr>
              <w:t xml:space="preserve">Notify the white cell (section 4.3) of the window and the test identifier</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438"/>
            <w:shd w:fill="FFFFFF" w:color="auto" w:val="clear"/>
            <w:tcMar>
              <w:top w:type="dxa" w:w="70"/>
              <w:left w:type="dxa" w:w="100"/>
              <w:bottom w:type="dxa" w:w="70"/>
              <w:right w:type="dxa" w:w="100"/>
            </w:tcMar>
            <w:vAlign w:val="top"/>
          </w:tcPr>
          <w:p>
            <w:pPr>
              <w:spacing w:after="0" w:before="0" w:line="252"/>
            </w:pPr>
            <w:r>
              <w:rPr>
                <w:sz w:val="17"/>
                <w:szCs w:val="17"/>
              </w:rPr>
              <w:t xml:space="preserve">Dated notification record</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165"/>
            <w:shd w:fill="F2F4F6" w:color="auto" w:val="clear"/>
            <w:tcMar>
              <w:top w:type="dxa" w:w="70"/>
              <w:left w:type="dxa" w:w="100"/>
              <w:bottom w:type="dxa" w:w="70"/>
              <w:right w:type="dxa" w:w="100"/>
            </w:tcMar>
            <w:vAlign w:val="top"/>
          </w:tcPr>
          <w:p>
            <w:pPr>
              <w:spacing w:after="0" w:before="0" w:line="252"/>
            </w:pPr>
            <w:r>
              <w:rPr>
                <w:sz w:val="17"/>
                <w:szCs w:val="17"/>
              </w:rPr>
              <w:t xml:space="preserve">File the authorization where the deconfliction contact and the white cell can retrieve it within 15 minutes at any time during the window</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438"/>
            <w:shd w:fill="F2F4F6" w:color="auto" w:val="clear"/>
            <w:tcMar>
              <w:top w:type="dxa" w:w="70"/>
              <w:left w:type="dxa" w:w="100"/>
              <w:bottom w:type="dxa" w:w="70"/>
              <w:right w:type="dxa" w:w="100"/>
            </w:tcMar>
            <w:vAlign w:val="top"/>
          </w:tcPr>
          <w:p>
            <w:pPr>
              <w:spacing w:after="0" w:before="0" w:line="252"/>
            </w:pPr>
            <w:r>
              <w:rPr>
                <w:sz w:val="17"/>
                <w:szCs w:val="17"/>
              </w:rPr>
              <w:t xml:space="preserve">Location recorded on the authorization form</w:t>
            </w:r>
          </w:p>
        </w:tc>
      </w:tr>
    </w:tbl>
    <w:p>
      <w:pPr>
        <w:spacing w:after="120" w:line="120"/>
      </w:pPr>
      <w:r>
        <w:rPr>
          <w:sz w:val="4"/>
          <w:szCs w:val="4"/>
        </w:rPr>
        <w:t xml:space="preserve"/>
      </w:r>
    </w:p>
    <w:p>
      <w:pPr>
        <w:spacing w:after="130" w:line="262"/>
      </w:pPr>
      <w:r>
        <w:t xml:space="preserve">Legal involvement in the design and review of phishing exercises is also recommended by NIST SP 800-50 Rev. 1, Building a Cybersecurity and Privacy Learning Program (September 2024). An authorization is valid for the window it names and for no more than 90 days. A new window requires a new signature.</w:t>
      </w:r>
    </w:p>
    <w:p>
      <w:pPr>
        <w:spacing w:after="60" w:line="120"/>
      </w:pPr>
      <w:r>
        <w:rPr>
          <w:sz w:val="4"/>
          <w:szCs w:val="4"/>
        </w:rPr>
        <w:t xml:space="preserve"/>
      </w:r>
    </w:p>
    <w:p>
      <w:pPr>
        <w:pStyle w:val="Heading2"/>
        <w:keepNext/>
        <w:keepLines/>
        <w:spacing w:after="90" w:before="220"/>
      </w:pPr>
      <w:bookmarkStart w:name="_RG0013" w:id="1"/>
      <w:r>
        <w:t xml:space="preserve">4.2  Scope and exclusions</w:t>
      </w:r>
      <w:bookmarkEnd w:id="1"/>
    </w:p>
    <w:p>
      <w:pPr>
        <w:spacing w:after="130" w:line="262"/>
      </w:pPr>
      <w:r>
        <w:t xml:space="preserve">The authorization names who receives the simulation and who is excluded. The following are excluded by default, and the sponsor may add others:</w:t>
      </w:r>
    </w:p>
    <w:p>
      <w:pPr>
        <w:pStyle w:val="ListParagraph"/>
        <w:numPr>
          <w:ilvl w:val="0"/>
          <w:numId w:val="2"/>
        </w:numPr>
        <w:spacing w:after="60" w:line="262"/>
      </w:pPr>
      <w:r>
        <w:t xml:space="preserve">Staff on any form of leave during the window, including parental, medical and bereavement leave.</w:t>
      </w:r>
    </w:p>
    <w:p>
      <w:pPr>
        <w:pStyle w:val="ListParagraph"/>
        <w:numPr>
          <w:ilvl w:val="0"/>
          <w:numId w:val="2"/>
        </w:numPr>
        <w:spacing w:after="60" w:line="262"/>
      </w:pPr>
      <w:r>
        <w:t xml:space="preserve">Staff in their first 30 days of employment who have not yet received induction on the reporting channel.</w:t>
      </w:r>
    </w:p>
    <w:p>
      <w:pPr>
        <w:pStyle w:val="ListParagraph"/>
        <w:numPr>
          <w:ilvl w:val="0"/>
          <w:numId w:val="2"/>
        </w:numPr>
        <w:spacing w:after="60" w:line="262"/>
      </w:pPr>
      <w:r>
        <w:t xml:space="preserve">Staff whom human resources identifies, without giving a reason, as unsuitable for inclusion during the window.</w:t>
      </w:r>
    </w:p>
    <w:p>
      <w:pPr>
        <w:pStyle w:val="ListParagraph"/>
        <w:numPr>
          <w:ilvl w:val="0"/>
          <w:numId w:val="2"/>
        </w:numPr>
        <w:spacing w:after="60" w:line="262"/>
      </w:pPr>
      <w:r>
        <w:t xml:space="preserve">Members of the white cell, who know the test is running.</w:t>
      </w:r>
    </w:p>
    <w:p>
      <w:pPr>
        <w:pStyle w:val="ListParagraph"/>
        <w:numPr>
          <w:ilvl w:val="0"/>
          <w:numId w:val="2"/>
        </w:numPr>
        <w:spacing w:after="60" w:line="262"/>
      </w:pPr>
      <w:r>
        <w:t xml:space="preserve">Shared, resource and service mailboxes not read by a person, except where the test deliberately checks whether a monitored shared mailbox reports.</w:t>
      </w:r>
    </w:p>
    <w:p>
      <w:pPr>
        <w:pStyle w:val="ListParagraph"/>
        <w:numPr>
          <w:ilvl w:val="0"/>
          <w:numId w:val="2"/>
        </w:numPr>
        <w:spacing w:after="60" w:line="262"/>
      </w:pPr>
      <w:r>
        <w:t xml:space="preserve">External parties, including contractors on their own mail systems, customers and suppliers, unless their own organization has authorized it in writing.</w:t>
      </w:r>
    </w:p>
    <w:p>
      <w:pPr>
        <w:spacing w:after="130" w:line="262"/>
      </w:pPr>
      <w:r>
        <w:t xml:space="preserve">The planted report in section 5 has no staff in scope and needs only the test account owner, the sponsor and the white cell to be named.</w:t>
      </w:r>
    </w:p>
    <w:p>
      <w:pPr>
        <w:spacing w:after="60" w:line="120"/>
      </w:pPr>
      <w:r>
        <w:rPr>
          <w:sz w:val="4"/>
          <w:szCs w:val="4"/>
        </w:rPr>
        <w:t xml:space="preserve"/>
      </w:r>
    </w:p>
    <w:p>
      <w:pPr>
        <w:pStyle w:val="Heading2"/>
        <w:keepNext/>
        <w:keepLines/>
        <w:spacing w:after="90" w:before="220"/>
      </w:pPr>
      <w:bookmarkStart w:name="_RG0014" w:id="1"/>
      <w:r>
        <w:t xml:space="preserve">4.3  White cell and deconfliction</w:t>
      </w:r>
      <w:bookmarkEnd w:id="1"/>
    </w:p>
    <w:p>
      <w:pPr>
        <w:spacing w:after="130" w:line="262"/>
      </w:pPr>
      <w:r>
        <w:t xml:space="preserve">The white cell is the small group that knows a test is running: the test lead, the senior sponsor and one deconfliction contact. Responders on the reporting route are not told in advance, because the point is to measure the route as it operates. The help desk lead may be added to the white cell only where the sponsor judges the help desk would otherwise escalate outside the organization.</w:t>
      </w:r>
    </w:p>
    <w:p>
      <w:pPr>
        <w:spacing w:after="130" w:line="262"/>
      </w:pPr>
      <w:r>
        <w:t xml:space="preserve">The deconfliction contact is reachable by telephone for the whole window, including any out-of-hours portion. A responder who believes a test may be in progress, or who is about to take an action with effect outside the organization, contacts the deconfliction contact. The contact confirms a test only when the responder is about to:</w:t>
      </w:r>
    </w:p>
    <w:p>
      <w:pPr>
        <w:pStyle w:val="ListParagraph"/>
        <w:numPr>
          <w:ilvl w:val="0"/>
          <w:numId w:val="2"/>
        </w:numPr>
        <w:spacing w:after="60" w:line="262"/>
      </w:pPr>
      <w:r>
        <w:t xml:space="preserve">notify law enforcement, a regulator, a cyber insurer, an external incident response provider or a customer;</w:t>
      </w:r>
    </w:p>
    <w:p>
      <w:pPr>
        <w:pStyle w:val="ListParagraph"/>
        <w:numPr>
          <w:ilvl w:val="0"/>
          <w:numId w:val="2"/>
        </w:numPr>
        <w:spacing w:after="60" w:line="262"/>
      </w:pPr>
      <w:r>
        <w:t xml:space="preserve">report a domain, address or hosting provider to a third party for takedown;</w:t>
      </w:r>
    </w:p>
    <w:p>
      <w:pPr>
        <w:pStyle w:val="ListParagraph"/>
        <w:numPr>
          <w:ilvl w:val="0"/>
          <w:numId w:val="2"/>
        </w:numPr>
        <w:spacing w:after="60" w:line="262"/>
      </w:pPr>
      <w:r>
        <w:t xml:space="preserve">invoke the organization's incident response plan at a level that would notify executives or the board.</w:t>
      </w:r>
    </w:p>
    <w:p>
      <w:pPr>
        <w:spacing w:after="130" w:line="262"/>
      </w:pPr>
      <w:r>
        <w:t xml:space="preserve">Every other action, including searching and removing the message from mailboxes, blocking the sender, resetting a test account and warning staff, is part of what is being measured and proceeds as if real. The deconfliction contact records each call, its time and what was disclosed.</w:t>
      </w:r>
    </w:p>
    <w:p>
      <w:pPr>
        <w:spacing w:after="60" w:line="120"/>
      </w:pPr>
      <w:r>
        <w:rPr>
          <w:sz w:val="4"/>
          <w:szCs w:val="4"/>
        </w:rPr>
        <w:t xml:space="preserve"/>
      </w:r>
    </w:p>
    <w:p>
      <w:pPr>
        <w:pStyle w:val="Heading2"/>
        <w:keepNext/>
        <w:keepLines/>
        <w:spacing w:after="90" w:before="220"/>
      </w:pPr>
      <w:bookmarkStart w:name="_RG0015" w:id="1"/>
      <w:r>
        <w:t xml:space="preserve">4.4  Ethics rules</w:t>
      </w:r>
      <w:bookmarkEnd w:id="1"/>
    </w:p>
    <w:p>
      <w:pPr>
        <w:spacing w:after="130" w:line="262"/>
      </w:pPr>
      <w:r>
        <w:t xml:space="preserve">The following rules apply to every scenario and are not waived by the sponsor.</w:t>
      </w:r>
    </w:p>
    <w:p>
      <w:pPr>
        <w:pStyle w:val="ListParagraph"/>
        <w:numPr>
          <w:ilvl w:val="0"/>
          <w:numId w:val="4"/>
        </w:numPr>
        <w:spacing w:after="60" w:line="262"/>
      </w:pPr>
      <w:r>
        <w:t xml:space="preserve">No lure exploits pay, bonuses, compensation reviews, layoffs, restructuring, redundancy, disciplinary processes, health, medical results, benefits, pandemic or public health measures, bereavement, family emergencies, natural disasters, charitable appeals or any personal crisis.</w:t>
      </w:r>
    </w:p>
    <w:p>
      <w:pPr>
        <w:pStyle w:val="ListParagraph"/>
        <w:numPr>
          <w:ilvl w:val="0"/>
          <w:numId w:val="4"/>
        </w:numPr>
        <w:spacing w:after="60" w:line="262"/>
      </w:pPr>
      <w:r>
        <w:t xml:space="preserve">No lure impersonates the security team's own reporting channel, the report button or the feedback messages responders send, because that teaches staff to distrust the route under test.</w:t>
      </w:r>
    </w:p>
    <w:p>
      <w:pPr>
        <w:pStyle w:val="ListParagraph"/>
        <w:numPr>
          <w:ilvl w:val="0"/>
          <w:numId w:val="4"/>
        </w:numPr>
        <w:spacing w:after="60" w:line="262"/>
      </w:pPr>
      <w:r>
        <w:t xml:space="preserve">No lure impersonates a named real individual inside the organization without that person's written consent, and no lure impersonates a law enforcement or government body.</w:t>
      </w:r>
    </w:p>
    <w:p>
      <w:pPr>
        <w:pStyle w:val="ListParagraph"/>
        <w:numPr>
          <w:ilvl w:val="0"/>
          <w:numId w:val="4"/>
        </w:numPr>
        <w:spacing w:after="60" w:line="262"/>
      </w:pPr>
      <w:r>
        <w:t xml:space="preserve">No credentials are harvested. Any landing page that presents a sign-in form records only that a submission occurred and never stores, logs or transmits the content of the password field. The test lead verifies this before the window opens by submitting a dummy password and confirming it appears nowhere in the platform's records.</w:t>
      </w:r>
    </w:p>
    <w:p>
      <w:pPr>
        <w:pStyle w:val="ListParagraph"/>
        <w:numPr>
          <w:ilvl w:val="0"/>
          <w:numId w:val="4"/>
        </w:numPr>
        <w:spacing w:after="60" w:line="262"/>
      </w:pPr>
      <w:r>
        <w:t xml:space="preserve">No attachment executes code, installs software or changes the recipient's device.</w:t>
      </w:r>
    </w:p>
    <w:p>
      <w:pPr>
        <w:pStyle w:val="ListParagraph"/>
        <w:numPr>
          <w:ilvl w:val="0"/>
          <w:numId w:val="4"/>
        </w:numPr>
        <w:spacing w:after="60" w:line="262"/>
      </w:pPr>
      <w:r>
        <w:t xml:space="preserve">No member of staff is named in any report, presentation or communication about results. Results are reported only for groups of 10 or more people.</w:t>
      </w:r>
    </w:p>
    <w:p>
      <w:pPr>
        <w:pStyle w:val="ListParagraph"/>
        <w:numPr>
          <w:ilvl w:val="0"/>
          <w:numId w:val="4"/>
        </w:numPr>
        <w:spacing w:after="60" w:line="262"/>
      </w:pPr>
      <w:r>
        <w:t xml:space="preserve">No result is shared with a line manager for performance purposes, used in an appraisal, or used as grounds for disciplinary action.</w:t>
      </w:r>
    </w:p>
    <w:p>
      <w:pPr>
        <w:pStyle w:val="ListParagraph"/>
        <w:numPr>
          <w:ilvl w:val="0"/>
          <w:numId w:val="4"/>
        </w:numPr>
        <w:spacing w:after="60" w:line="262"/>
      </w:pPr>
      <w:r>
        <w:t xml:space="preserve">A member of staff who reports having clicked or submitted is thanked and is never asked to justify it.</w:t>
      </w:r>
    </w:p>
    <w:p>
      <w:pPr>
        <w:spacing w:after="130" w:line="262"/>
      </w:pPr>
      <w:r>
        <w:t xml:space="preserve">NIST SP 800-50 Rev. 1 states that phishing exercises should not be punitive and that no employee should be called out for their response. This procedure applies that principle to the reporting route as well as to the click.</w:t>
      </w:r>
    </w:p>
    <w:p>
      <w:pPr>
        <w:spacing w:after="60" w:line="120"/>
      </w:pPr>
      <w:r>
        <w:rPr>
          <w:sz w:val="4"/>
          <w:szCs w:val="4"/>
        </w:rPr>
        <w:t xml:space="preserve"/>
      </w:r>
    </w:p>
    <w:p>
      <w:pPr>
        <w:pStyle w:val="Heading1"/>
        <w:keepNext/>
        <w:keepLines/>
        <w:pBdr>
          <w:bottom w:val="single" w:color="D4DAE0" w:sz="4" w:space="4"/>
        </w:pBdr>
        <w:spacing w:after="140" w:before="300"/>
      </w:pPr>
      <w:bookmarkStart w:name="_RG0016" w:id="1"/>
      <w:r>
        <w:t xml:space="preserve">5.  The route test: planted report</w:t>
      </w:r>
      <w:bookmarkEnd w:id="1"/>
    </w:p>
    <w:p>
      <w:pPr>
        <w:spacing w:after="130" w:line="262"/>
      </w:pPr>
      <w:r>
        <w:t xml:space="preserve">The route test checks the reporting route end to end without involving staff. A test account known to the white cell sends a message designed to meet the malicious, credential exposure possible criteria to a set of internal mailboxes, then a second test account reports it through each sanctioned channel. The clock starts when the report is sent and stops when every containment action has been completed or when the window closes without them.</w:t>
      </w:r>
    </w:p>
    <w:p>
      <w:pPr>
        <w:spacing w:after="60" w:line="120"/>
      </w:pPr>
      <w:r>
        <w:rPr>
          <w:sz w:val="4"/>
          <w:szCs w:val="4"/>
        </w:rPr>
        <w:t xml:space="preserve"/>
      </w:r>
    </w:p>
    <w:p>
      <w:pPr>
        <w:pStyle w:val="Heading2"/>
        <w:keepNext/>
        <w:keepLines/>
        <w:spacing w:after="90" w:before="220"/>
      </w:pPr>
      <w:bookmarkStart w:name="_RG0017" w:id="1"/>
      <w:r>
        <w:t xml:space="preserve">5.1  Preparation</w:t>
      </w:r>
      <w:bookmarkEnd w:id="1"/>
    </w:p>
    <w:p>
      <w:pPr>
        <w:pStyle w:val="ListParagraph"/>
        <w:numPr>
          <w:ilvl w:val="0"/>
          <w:numId w:val="5"/>
        </w:numPr>
        <w:spacing w:after="60" w:line="262"/>
      </w:pPr>
      <w:r>
        <w:t xml:space="preserve">Create two test accounts: a sender account outside the organization's mail domain on a domain the organization controls and has registered for the purpose, and a reporter account inside the organization that is a normal licensed user with the standard mail client configuration.</w:t>
      </w:r>
    </w:p>
    <w:p>
      <w:pPr>
        <w:pStyle w:val="ListParagraph"/>
        <w:numPr>
          <w:ilvl w:val="0"/>
          <w:numId w:val="5"/>
        </w:numPr>
        <w:spacing w:after="60" w:line="262"/>
      </w:pPr>
      <w:r>
        <w:t xml:space="preserve">Create a third internal account, the exposed account, whose credentials the planted report will state were entered on a phishing page. This account is the one responders are expected to reset and revoke. It holds no data and has no privileged roles.</w:t>
      </w:r>
    </w:p>
    <w:p>
      <w:pPr>
        <w:pStyle w:val="ListParagraph"/>
        <w:numPr>
          <w:ilvl w:val="0"/>
          <w:numId w:val="5"/>
        </w:numPr>
        <w:spacing w:after="60" w:line="262"/>
      </w:pPr>
      <w:r>
        <w:t xml:space="preserve">Build the planted message: a plain email with a link to a page on the registered test domain that returns a harmless page. Include a unique test identifier in the message headers, not in the visible body, so responders cannot recognize it at a glance but the white cell can prove it afterward.</w:t>
      </w:r>
    </w:p>
    <w:p>
      <w:pPr>
        <w:pStyle w:val="ListParagraph"/>
        <w:numPr>
          <w:ilvl w:val="0"/>
          <w:numId w:val="5"/>
        </w:numPr>
        <w:spacing w:after="60" w:line="262"/>
      </w:pPr>
      <w:r>
        <w:t xml:space="preserve">Deliver the planted message to the reporter account and to not fewer than five other test or white cell mailboxes, so that a search-and-remove action has more than one copy to find.</w:t>
      </w:r>
    </w:p>
    <w:p>
      <w:pPr>
        <w:pStyle w:val="ListParagraph"/>
        <w:numPr>
          <w:ilvl w:val="0"/>
          <w:numId w:val="5"/>
        </w:numPr>
        <w:spacing w:after="60" w:line="262"/>
      </w:pPr>
      <w:r>
        <w:t xml:space="preserve">Record each delivery time from the mail platform's message trace, not from the sender's clock.</w:t>
      </w:r>
    </w:p>
    <w:p>
      <w:pPr>
        <w:pStyle w:val="ListParagraph"/>
        <w:numPr>
          <w:ilvl w:val="0"/>
          <w:numId w:val="5"/>
        </w:numPr>
        <w:spacing w:after="60" w:line="262"/>
      </w:pPr>
      <w:r>
        <w:t xml:space="preserve">Confirm the deconfliction contact is reachable and has the test identifier.</w:t>
      </w:r>
    </w:p>
    <w:p>
      <w:pPr>
        <w:spacing w:after="60" w:line="120"/>
      </w:pPr>
      <w:r>
        <w:rPr>
          <w:sz w:val="4"/>
          <w:szCs w:val="4"/>
        </w:rPr>
        <w:t xml:space="preserve"/>
      </w:r>
    </w:p>
    <w:p>
      <w:pPr>
        <w:pStyle w:val="Heading2"/>
        <w:keepNext/>
        <w:keepLines/>
        <w:spacing w:after="90" w:before="220"/>
      </w:pPr>
      <w:bookmarkStart w:name="_RG0018" w:id="1"/>
      <w:r>
        <w:t xml:space="preserve">5.2  Execution</w:t>
      </w:r>
      <w:bookmarkEnd w:id="1"/>
    </w:p>
    <w:p>
      <w:pPr>
        <w:spacing w:after="130" w:line="262"/>
      </w:pPr>
      <w:r>
        <w:t xml:space="preserve">Each sanctioned channel and each client type is tested with its own planted report. A route with a report button and a forwarding address, used on desktop, web and mobile, requires six planted reports over the test cycle. They need not all run on the same day.</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5165"/>
        <w:gridCol w:w="1656"/>
        <w:gridCol w:w="2438"/>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16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6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43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165"/>
            <w:shd w:fill="FFFFFF" w:color="auto" w:val="clear"/>
            <w:tcMar>
              <w:top w:type="dxa" w:w="70"/>
              <w:left w:type="dxa" w:w="100"/>
              <w:bottom w:type="dxa" w:w="70"/>
              <w:right w:type="dxa" w:w="100"/>
            </w:tcMar>
            <w:vAlign w:val="top"/>
          </w:tcPr>
          <w:p>
            <w:pPr>
              <w:spacing w:after="0" w:before="0" w:line="252"/>
            </w:pPr>
            <w:r>
              <w:rPr>
                <w:sz w:val="17"/>
                <w:szCs w:val="17"/>
              </w:rPr>
              <w:t xml:space="preserve">From the reporter account, report the planted message through the channel and client under test. The report text states: the reporter clicked the link and entered their password, and names the exposed account as the account used</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438"/>
            <w:shd w:fill="FFFFFF" w:color="auto" w:val="clear"/>
            <w:tcMar>
              <w:top w:type="dxa" w:w="70"/>
              <w:left w:type="dxa" w:w="100"/>
              <w:bottom w:type="dxa" w:w="70"/>
              <w:right w:type="dxa" w:w="100"/>
            </w:tcMar>
            <w:vAlign w:val="top"/>
          </w:tcPr>
          <w:p>
            <w:pPr>
              <w:spacing w:after="0" w:before="0" w:line="252"/>
            </w:pPr>
            <w:r>
              <w:rPr>
                <w:sz w:val="17"/>
                <w:szCs w:val="17"/>
              </w:rPr>
              <w:t xml:space="preserve">Report sent time, from message trace</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165"/>
            <w:shd w:fill="F2F4F6" w:color="auto" w:val="clear"/>
            <w:tcMar>
              <w:top w:type="dxa" w:w="70"/>
              <w:left w:type="dxa" w:w="100"/>
              <w:bottom w:type="dxa" w:w="70"/>
              <w:right w:type="dxa" w:w="100"/>
            </w:tcMar>
            <w:vAlign w:val="top"/>
          </w:tcPr>
          <w:p>
            <w:pPr>
              <w:spacing w:after="0" w:before="0" w:line="252"/>
            </w:pPr>
            <w:r>
              <w:rPr>
                <w:sz w:val="17"/>
                <w:szCs w:val="17"/>
              </w:rPr>
              <w:t xml:space="preserve">Confirm the report arrived at the destination with the original message attached or identifiable</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Test lead, observing only</w:t>
            </w:r>
          </w:p>
        </w:tc>
        <w:tc>
          <w:tcPr>
            <w:tcW w:type="dxa" w:w="2438"/>
            <w:shd w:fill="F2F4F6" w:color="auto" w:val="clear"/>
            <w:tcMar>
              <w:top w:type="dxa" w:w="70"/>
              <w:left w:type="dxa" w:w="100"/>
              <w:bottom w:type="dxa" w:w="70"/>
              <w:right w:type="dxa" w:w="100"/>
            </w:tcMar>
            <w:vAlign w:val="top"/>
          </w:tcPr>
          <w:p>
            <w:pPr>
              <w:spacing w:after="0" w:before="0" w:line="252"/>
            </w:pPr>
            <w:r>
              <w:rPr>
                <w:sz w:val="17"/>
                <w:szCs w:val="17"/>
              </w:rPr>
              <w:t xml:space="preserve">Report received time; screenshot or export showing the attachment</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165"/>
            <w:shd w:fill="FFFFFF" w:color="auto" w:val="clear"/>
            <w:tcMar>
              <w:top w:type="dxa" w:w="70"/>
              <w:left w:type="dxa" w:w="100"/>
              <w:bottom w:type="dxa" w:w="70"/>
              <w:right w:type="dxa" w:w="100"/>
            </w:tcMar>
            <w:vAlign w:val="top"/>
          </w:tcPr>
          <w:p>
            <w:pPr>
              <w:spacing w:after="0" w:before="0" w:line="252"/>
            </w:pPr>
            <w:r>
              <w:rPr>
                <w:sz w:val="17"/>
                <w:szCs w:val="17"/>
              </w:rPr>
              <w:t xml:space="preserve">Wait without contacting responders. Do not prompt, chase or hint</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438"/>
            <w:shd w:fill="FFFFFF" w:color="auto" w:val="clear"/>
            <w:tcMar>
              <w:top w:type="dxa" w:w="70"/>
              <w:left w:type="dxa" w:w="100"/>
              <w:bottom w:type="dxa" w:w="70"/>
              <w:right w:type="dxa" w:w="100"/>
            </w:tcMar>
            <w:vAlign w:val="top"/>
          </w:tcPr>
          <w:p>
            <w:pPr>
              <w:spacing w:after="0" w:before="0" w:line="252"/>
            </w:pPr>
            <w:r>
              <w:rPr>
                <w:sz w:val="17"/>
                <w:szCs w:val="17"/>
              </w:rPr>
              <w:t xml:space="preserve">Not applicable</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165"/>
            <w:shd w:fill="F2F4F6" w:color="auto" w:val="clear"/>
            <w:tcMar>
              <w:top w:type="dxa" w:w="70"/>
              <w:left w:type="dxa" w:w="100"/>
              <w:bottom w:type="dxa" w:w="70"/>
              <w:right w:type="dxa" w:w="100"/>
            </w:tcMar>
            <w:vAlign w:val="top"/>
          </w:tcPr>
          <w:p>
            <w:pPr>
              <w:spacing w:after="0" w:before="0" w:line="252"/>
            </w:pPr>
            <w:r>
              <w:rPr>
                <w:sz w:val="17"/>
                <w:szCs w:val="17"/>
              </w:rPr>
              <w:t xml:space="preserve">Record the time of the first responder action on the report: opening it, assigning it, or replying</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Test lead, from ticket history or mailbox audit log</w:t>
            </w:r>
          </w:p>
        </w:tc>
        <w:tc>
          <w:tcPr>
            <w:tcW w:type="dxa" w:w="2438"/>
            <w:shd w:fill="F2F4F6" w:color="auto" w:val="clear"/>
            <w:tcMar>
              <w:top w:type="dxa" w:w="70"/>
              <w:left w:type="dxa" w:w="100"/>
              <w:bottom w:type="dxa" w:w="70"/>
              <w:right w:type="dxa" w:w="100"/>
            </w:tcMar>
            <w:vAlign w:val="top"/>
          </w:tcPr>
          <w:p>
            <w:pPr>
              <w:spacing w:after="0" w:before="0" w:line="252"/>
            </w:pPr>
            <w:r>
              <w:rPr>
                <w:sz w:val="17"/>
                <w:szCs w:val="17"/>
              </w:rPr>
              <w:t xml:space="preserve">First touch time</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165"/>
            <w:shd w:fill="FFFFFF" w:color="auto" w:val="clear"/>
            <w:tcMar>
              <w:top w:type="dxa" w:w="70"/>
              <w:left w:type="dxa" w:w="100"/>
              <w:bottom w:type="dxa" w:w="70"/>
              <w:right w:type="dxa" w:w="100"/>
            </w:tcMar>
            <w:vAlign w:val="top"/>
          </w:tcPr>
          <w:p>
            <w:pPr>
              <w:spacing w:after="0" w:before="0" w:line="252"/>
            </w:pPr>
            <w:r>
              <w:rPr>
                <w:sz w:val="17"/>
                <w:szCs w:val="17"/>
              </w:rPr>
              <w:t xml:space="preserve">Record the classification the responder assigns and when</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438"/>
            <w:shd w:fill="FFFFFF" w:color="auto" w:val="clear"/>
            <w:tcMar>
              <w:top w:type="dxa" w:w="70"/>
              <w:left w:type="dxa" w:w="100"/>
              <w:bottom w:type="dxa" w:w="70"/>
              <w:right w:type="dxa" w:w="100"/>
            </w:tcMar>
            <w:vAlign w:val="top"/>
          </w:tcPr>
          <w:p>
            <w:pPr>
              <w:spacing w:after="0" w:before="0" w:line="252"/>
            </w:pPr>
            <w:r>
              <w:rPr>
                <w:sz w:val="17"/>
                <w:szCs w:val="17"/>
              </w:rPr>
              <w:t xml:space="preserve">Triage time and classification</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165"/>
            <w:shd w:fill="F2F4F6" w:color="auto" w:val="clear"/>
            <w:tcMar>
              <w:top w:type="dxa" w:w="70"/>
              <w:left w:type="dxa" w:w="100"/>
              <w:bottom w:type="dxa" w:w="70"/>
              <w:right w:type="dxa" w:w="100"/>
            </w:tcMar>
            <w:vAlign w:val="top"/>
          </w:tcPr>
          <w:p>
            <w:pPr>
              <w:spacing w:after="0" w:before="0" w:line="252"/>
            </w:pPr>
            <w:r>
              <w:rPr>
                <w:sz w:val="17"/>
                <w:szCs w:val="17"/>
              </w:rPr>
              <w:t xml:space="preserve">Record each containment action and its completion time: search, removal from all mailboxes, sender and URL block, reset of the exposed account, session revocation, sign-in review</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Test lead, from platform audit logs</w:t>
            </w:r>
          </w:p>
        </w:tc>
        <w:tc>
          <w:tcPr>
            <w:tcW w:type="dxa" w:w="2438"/>
            <w:shd w:fill="F2F4F6" w:color="auto" w:val="clear"/>
            <w:tcMar>
              <w:top w:type="dxa" w:w="70"/>
              <w:left w:type="dxa" w:w="100"/>
              <w:bottom w:type="dxa" w:w="70"/>
              <w:right w:type="dxa" w:w="100"/>
            </w:tcMar>
            <w:vAlign w:val="top"/>
          </w:tcPr>
          <w:p>
            <w:pPr>
              <w:spacing w:after="0" w:before="0" w:line="252"/>
            </w:pPr>
            <w:r>
              <w:rPr>
                <w:sz w:val="17"/>
                <w:szCs w:val="17"/>
              </w:rPr>
              <w:t xml:space="preserve">Action times; count of copies removed against copies delivered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5165"/>
            <w:shd w:fill="FFFFFF" w:color="auto" w:val="clear"/>
            <w:tcMar>
              <w:top w:type="dxa" w:w="70"/>
              <w:left w:type="dxa" w:w="100"/>
              <w:bottom w:type="dxa" w:w="70"/>
              <w:right w:type="dxa" w:w="100"/>
            </w:tcMar>
            <w:vAlign w:val="top"/>
          </w:tcPr>
          <w:p>
            <w:pPr>
              <w:spacing w:after="0" w:before="0" w:line="252"/>
            </w:pPr>
            <w:r>
              <w:rPr>
                <w:sz w:val="17"/>
                <w:szCs w:val="17"/>
              </w:rPr>
              <w:t xml:space="preserve">Record any feedback sent to the reporter account and its time</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438"/>
            <w:shd w:fill="FFFFFF" w:color="auto" w:val="clear"/>
            <w:tcMar>
              <w:top w:type="dxa" w:w="70"/>
              <w:left w:type="dxa" w:w="100"/>
              <w:bottom w:type="dxa" w:w="70"/>
              <w:right w:type="dxa" w:w="100"/>
            </w:tcMar>
            <w:vAlign w:val="top"/>
          </w:tcPr>
          <w:p>
            <w:pPr>
              <w:spacing w:after="0" w:before="0" w:line="252"/>
            </w:pPr>
            <w:r>
              <w:rPr>
                <w:sz w:val="17"/>
                <w:szCs w:val="17"/>
              </w:rPr>
              <w:t xml:space="preserve">Feedback time and text</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5165"/>
            <w:shd w:fill="F2F4F6" w:color="auto" w:val="clear"/>
            <w:tcMar>
              <w:top w:type="dxa" w:w="70"/>
              <w:left w:type="dxa" w:w="100"/>
              <w:bottom w:type="dxa" w:w="70"/>
              <w:right w:type="dxa" w:w="100"/>
            </w:tcMar>
            <w:vAlign w:val="top"/>
          </w:tcPr>
          <w:p>
            <w:pPr>
              <w:spacing w:after="0" w:before="0" w:line="252"/>
            </w:pPr>
            <w:r>
              <w:rPr>
                <w:sz w:val="17"/>
                <w:szCs w:val="17"/>
              </w:rPr>
              <w:t xml:space="preserve">Close the test at the earlier of all actions completed or the observation limit in section 5.4. Disclose the test to responders</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438"/>
            <w:shd w:fill="F2F4F6" w:color="auto" w:val="clear"/>
            <w:tcMar>
              <w:top w:type="dxa" w:w="70"/>
              <w:left w:type="dxa" w:w="100"/>
              <w:bottom w:type="dxa" w:w="70"/>
              <w:right w:type="dxa" w:w="100"/>
            </w:tcMar>
            <w:vAlign w:val="top"/>
          </w:tcPr>
          <w:p>
            <w:pPr>
              <w:spacing w:after="0" w:before="0" w:line="252"/>
            </w:pPr>
            <w:r>
              <w:rPr>
                <w:sz w:val="17"/>
                <w:szCs w:val="17"/>
              </w:rPr>
              <w:t xml:space="preserve">Close time; disclosure record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9</w:t>
            </w:r>
          </w:p>
        </w:tc>
        <w:tc>
          <w:tcPr>
            <w:tcW w:type="dxa" w:w="5165"/>
            <w:shd w:fill="FFFFFF" w:color="auto" w:val="clear"/>
            <w:tcMar>
              <w:top w:type="dxa" w:w="70"/>
              <w:left w:type="dxa" w:w="100"/>
              <w:bottom w:type="dxa" w:w="70"/>
              <w:right w:type="dxa" w:w="100"/>
            </w:tcMar>
            <w:vAlign w:val="top"/>
          </w:tcPr>
          <w:p>
            <w:pPr>
              <w:spacing w:after="0" w:before="0" w:line="252"/>
            </w:pPr>
            <w:r>
              <w:rPr>
                <w:sz w:val="17"/>
                <w:szCs w:val="17"/>
              </w:rPr>
              <w:t xml:space="preserve">Complete the planted report test record, Appendix C, the same day</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438"/>
            <w:shd w:fill="FFFFFF" w:color="auto" w:val="clear"/>
            <w:tcMar>
              <w:top w:type="dxa" w:w="70"/>
              <w:left w:type="dxa" w:w="100"/>
              <w:bottom w:type="dxa" w:w="70"/>
              <w:right w:type="dxa" w:w="100"/>
            </w:tcMar>
            <w:vAlign w:val="top"/>
          </w:tcPr>
          <w:p>
            <w:pPr>
              <w:spacing w:after="0" w:before="0" w:line="252"/>
            </w:pPr>
            <w:r>
              <w:rPr>
                <w:sz w:val="17"/>
                <w:szCs w:val="17"/>
              </w:rPr>
              <w:t xml:space="preserve">Completed Appendix C</w:t>
            </w:r>
          </w:p>
        </w:tc>
      </w:tr>
    </w:tbl>
    <w:p>
      <w:pPr>
        <w:spacing w:after="120" w:line="120"/>
      </w:pPr>
      <w:r>
        <w:rPr>
          <w:sz w:val="4"/>
          <w:szCs w:val="4"/>
        </w:rPr>
        <w:t xml:space="preserve"/>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TIMES COME FROM LOGS, NOT FROM PEOPLE</w:t>
            </w:r>
          </w:p>
          <w:p>
            <w:pPr>
              <w:spacing w:after="0" w:line="262"/>
            </w:pPr>
            <w:r>
              <w:t xml:space="preserve">Every time recorded in this test is taken from a system record: message trace, ticket history, mailbox audit log, the identity provider audit log or the mail platform's remediation history. A time that somebody remembers is not evidence. If a hop leaves no timestamped record, that absence is itself a finding, because a real incident review would have no record either.</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19" w:id="1"/>
      <w:r>
        <w:t xml:space="preserve">5.3  Out-of-hours test</w:t>
      </w:r>
      <w:bookmarkEnd w:id="1"/>
    </w:p>
    <w:p>
      <w:pPr>
        <w:spacing w:after="130" w:line="262"/>
      </w:pPr>
      <w:r>
        <w:t xml:space="preserve">The out-of-hours planted report follows the same steps with these differences:</w:t>
      </w:r>
    </w:p>
    <w:p>
      <w:pPr>
        <w:pStyle w:val="ListParagraph"/>
        <w:numPr>
          <w:ilvl w:val="0"/>
          <w:numId w:val="2"/>
        </w:numPr>
        <w:spacing w:after="60" w:line="262"/>
      </w:pPr>
      <w:r>
        <w:t xml:space="preserve">It is sent at a time chosen by the test lead and recorded only on the authorization, within one of these bands: weekday evening after the end of the published working day, overnight, or a weekend or public holiday.</w:t>
      </w:r>
    </w:p>
    <w:p>
      <w:pPr>
        <w:pStyle w:val="ListParagraph"/>
        <w:numPr>
          <w:ilvl w:val="0"/>
          <w:numId w:val="2"/>
        </w:numPr>
        <w:spacing w:after="60" w:line="262"/>
      </w:pPr>
      <w:r>
        <w:t xml:space="preserve">The planted message is delivered to more than 10 test mailboxes, or to a test account tagged as a finance or privileged user, so that it meets the out-of-hours escalation criteria in section 3.3. A route that does not escalate a report meeting those criteria has failed the test.</w:t>
      </w:r>
    </w:p>
    <w:p>
      <w:pPr>
        <w:pStyle w:val="ListParagraph"/>
        <w:numPr>
          <w:ilvl w:val="0"/>
          <w:numId w:val="2"/>
        </w:numPr>
        <w:spacing w:after="60" w:line="262"/>
      </w:pPr>
      <w:r>
        <w:t xml:space="preserve">Where out-of-hours cover is provided by a contracted provider, the provider is not told in advance, and the test is listed in the authorization as permitted under the provider's contract. The test lead confirms with the contract owner before the window that the contract permits it.</w:t>
      </w:r>
    </w:p>
    <w:p>
      <w:pPr>
        <w:pStyle w:val="ListParagraph"/>
        <w:numPr>
          <w:ilvl w:val="0"/>
          <w:numId w:val="2"/>
        </w:numPr>
        <w:spacing w:after="60" w:line="262"/>
      </w:pPr>
      <w:r>
        <w:t xml:space="preserve">The test lead or the deconfliction contact remains available for the full observation period.</w:t>
      </w:r>
    </w:p>
    <w:p>
      <w:pPr>
        <w:spacing w:after="60" w:line="120"/>
      </w:pPr>
      <w:r>
        <w:rPr>
          <w:sz w:val="4"/>
          <w:szCs w:val="4"/>
        </w:rPr>
        <w:t xml:space="preserve"/>
      </w:r>
    </w:p>
    <w:p>
      <w:pPr>
        <w:pStyle w:val="Heading2"/>
        <w:keepNext/>
        <w:keepLines/>
        <w:spacing w:after="90" w:before="220"/>
      </w:pPr>
      <w:bookmarkStart w:name="_RG0020" w:id="1"/>
      <w:r>
        <w:t xml:space="preserve">5.4  Pass criteria and observation limits</w:t>
      </w:r>
      <w:bookmarkEnd w:id="1"/>
    </w:p>
    <w:p>
      <w:pPr>
        <w:spacing w:after="130" w:line="262"/>
      </w:pPr>
      <w:r>
        <w:t xml:space="preserve">The organization sets the following defaults. The sponsor may approve different values on the authorization, and any change is recorded with the reason.</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313"/>
        <w:gridCol w:w="2144"/>
        <w:gridCol w:w="2144"/>
        <w:gridCol w:w="2145"/>
      </w:tblGrid>
      <w:tr>
        <w:trPr>
          <w:cantSplit/>
          <w:tblHeader/>
        </w:trPr>
        <w:tc>
          <w:tcPr>
            <w:tcW w:type="dxa" w:w="33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Measure</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Working hours pass</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Outside working hours pass</w:t>
            </w:r>
          </w:p>
        </w:tc>
        <w:tc>
          <w:tcPr>
            <w:tcW w:type="dxa" w:w="214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Observation limit</w:t>
            </w:r>
          </w:p>
        </w:tc>
      </w:tr>
      <w:tr>
        <w:trPr>
          <w:cantSplit/>
        </w:trPr>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Report arrives at destination intact</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Within 5 minutes</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Within 5 minutes</w:t>
            </w:r>
          </w:p>
        </w:tc>
        <w:tc>
          <w:tcPr>
            <w:tcW w:type="dxa" w:w="2145"/>
            <w:shd w:fill="FFFFFF" w:color="auto" w:val="clear"/>
            <w:tcMar>
              <w:top w:type="dxa" w:w="70"/>
              <w:left w:type="dxa" w:w="100"/>
              <w:bottom w:type="dxa" w:w="70"/>
              <w:right w:type="dxa" w:w="100"/>
            </w:tcMar>
            <w:vAlign w:val="top"/>
          </w:tcPr>
          <w:p>
            <w:pPr>
              <w:spacing w:after="0" w:before="0" w:line="252"/>
            </w:pPr>
            <w:r>
              <w:rPr>
                <w:sz w:val="17"/>
                <w:szCs w:val="17"/>
              </w:rPr>
              <w:t xml:space="preserve">1 hour</w:t>
            </w:r>
          </w:p>
        </w:tc>
      </w:tr>
      <w:tr>
        <w:trPr>
          <w:cantSplit/>
        </w:trPr>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First responder touch</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Within 30 minutes</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Within 60 minutes</w:t>
            </w:r>
          </w:p>
        </w:tc>
        <w:tc>
          <w:tcPr>
            <w:tcW w:type="dxa" w:w="2145"/>
            <w:shd w:fill="F2F4F6" w:color="auto" w:val="clear"/>
            <w:tcMar>
              <w:top w:type="dxa" w:w="70"/>
              <w:left w:type="dxa" w:w="100"/>
              <w:bottom w:type="dxa" w:w="70"/>
              <w:right w:type="dxa" w:w="100"/>
            </w:tcMar>
            <w:vAlign w:val="top"/>
          </w:tcPr>
          <w:p>
            <w:pPr>
              <w:spacing w:after="0" w:before="0" w:line="252"/>
            </w:pPr>
            <w:r>
              <w:rPr>
                <w:sz w:val="17"/>
                <w:szCs w:val="17"/>
              </w:rPr>
              <w:t xml:space="preserve">1 working day, or 72 hours outside working hours</w:t>
            </w:r>
          </w:p>
        </w:tc>
      </w:tr>
      <w:tr>
        <w:trPr>
          <w:cantSplit/>
        </w:trPr>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Triage classification recorded</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Within 45 minutes</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Within 90 minutes</w:t>
            </w:r>
          </w:p>
        </w:tc>
        <w:tc>
          <w:tcPr>
            <w:tcW w:type="dxa" w:w="2145"/>
            <w:shd w:fill="FFFFFF" w:color="auto" w:val="clear"/>
            <w:tcMar>
              <w:top w:type="dxa" w:w="70"/>
              <w:left w:type="dxa" w:w="100"/>
              <w:bottom w:type="dxa" w:w="70"/>
              <w:right w:type="dxa" w:w="100"/>
            </w:tcMar>
            <w:vAlign w:val="top"/>
          </w:tcPr>
          <w:p>
            <w:pPr>
              <w:spacing w:after="0" w:before="0" w:line="252"/>
            </w:pPr>
            <w:r>
              <w:rPr>
                <w:sz w:val="17"/>
                <w:szCs w:val="17"/>
              </w:rPr>
              <w:t xml:space="preserve">As above</w:t>
            </w:r>
          </w:p>
        </w:tc>
      </w:tr>
      <w:tr>
        <w:trPr>
          <w:cantSplit/>
        </w:trPr>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Message removed from all mailboxes</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Within 60 minutes of report</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Within 2 hours of report</w:t>
            </w:r>
          </w:p>
        </w:tc>
        <w:tc>
          <w:tcPr>
            <w:tcW w:type="dxa" w:w="2145"/>
            <w:shd w:fill="F2F4F6" w:color="auto" w:val="clear"/>
            <w:tcMar>
              <w:top w:type="dxa" w:w="70"/>
              <w:left w:type="dxa" w:w="100"/>
              <w:bottom w:type="dxa" w:w="70"/>
              <w:right w:type="dxa" w:w="100"/>
            </w:tcMar>
            <w:vAlign w:val="top"/>
          </w:tcPr>
          <w:p>
            <w:pPr>
              <w:spacing w:after="0" w:before="0" w:line="252"/>
            </w:pPr>
            <w:r>
              <w:rPr>
                <w:sz w:val="17"/>
                <w:szCs w:val="17"/>
              </w:rPr>
              <w:t xml:space="preserve">As above</w:t>
            </w:r>
          </w:p>
        </w:tc>
      </w:tr>
      <w:tr>
        <w:trPr>
          <w:cantSplit/>
        </w:trPr>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Exposed account reset and sessions revoked</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Within 60 minutes of report</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Within 2 hours of report</w:t>
            </w:r>
          </w:p>
        </w:tc>
        <w:tc>
          <w:tcPr>
            <w:tcW w:type="dxa" w:w="2145"/>
            <w:shd w:fill="FFFFFF" w:color="auto" w:val="clear"/>
            <w:tcMar>
              <w:top w:type="dxa" w:w="70"/>
              <w:left w:type="dxa" w:w="100"/>
              <w:bottom w:type="dxa" w:w="70"/>
              <w:right w:type="dxa" w:w="100"/>
            </w:tcMar>
            <w:vAlign w:val="top"/>
          </w:tcPr>
          <w:p>
            <w:pPr>
              <w:spacing w:after="0" w:before="0" w:line="252"/>
            </w:pPr>
            <w:r>
              <w:rPr>
                <w:sz w:val="17"/>
                <w:szCs w:val="17"/>
              </w:rPr>
              <w:t xml:space="preserve">As above</w:t>
            </w:r>
          </w:p>
        </w:tc>
      </w:tr>
      <w:tr>
        <w:trPr>
          <w:cantSplit/>
        </w:trPr>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Feedback to reporter</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Within 1 working day</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Within 1 working day</w:t>
            </w:r>
          </w:p>
        </w:tc>
        <w:tc>
          <w:tcPr>
            <w:tcW w:type="dxa" w:w="2145"/>
            <w:shd w:fill="F2F4F6" w:color="auto" w:val="clear"/>
            <w:tcMar>
              <w:top w:type="dxa" w:w="70"/>
              <w:left w:type="dxa" w:w="100"/>
              <w:bottom w:type="dxa" w:w="70"/>
              <w:right w:type="dxa" w:w="100"/>
            </w:tcMar>
            <w:vAlign w:val="top"/>
          </w:tcPr>
          <w:p>
            <w:pPr>
              <w:spacing w:after="0" w:before="0" w:line="252"/>
            </w:pPr>
            <w:r>
              <w:rPr>
                <w:sz w:val="17"/>
                <w:szCs w:val="17"/>
              </w:rPr>
              <w:t xml:space="preserve">5 working days</w:t>
            </w:r>
          </w:p>
        </w:tc>
      </w:tr>
    </w:tbl>
    <w:p>
      <w:pPr>
        <w:spacing w:after="120" w:line="120"/>
      </w:pPr>
      <w:r>
        <w:rPr>
          <w:sz w:val="4"/>
          <w:szCs w:val="4"/>
        </w:rPr>
        <w:t xml:space="preserve"/>
      </w:r>
    </w:p>
    <w:p>
      <w:pPr>
        <w:spacing w:after="130" w:line="262"/>
      </w:pPr>
      <w:r>
        <w:t xml:space="preserve">A hop that does not complete within its observation limit is recorded as failed, the test is disclosed to responders, and the white cell carries out any outstanding clean-up of test accounts and test messages. A route passes only when every hop passes in a single planted report.</w:t>
      </w:r>
    </w:p>
    <w:p>
      <w:pPr>
        <w:spacing w:after="60" w:line="120"/>
      </w:pPr>
      <w:r>
        <w:rPr>
          <w:sz w:val="4"/>
          <w:szCs w:val="4"/>
        </w:rPr>
        <w:t xml:space="preserve"/>
      </w:r>
    </w:p>
    <w:p>
      <w:pPr>
        <w:pStyle w:val="Heading1"/>
        <w:keepNext/>
        <w:keepLines/>
        <w:pBdr>
          <w:bottom w:val="single" w:color="D4DAE0" w:sz="4" w:space="4"/>
        </w:pBdr>
        <w:spacing w:after="140" w:before="300"/>
      </w:pPr>
      <w:bookmarkStart w:name="_RG0021" w:id="1"/>
      <w:r>
        <w:t xml:space="preserve">6.  The staff-facing simulation</w:t>
      </w:r>
      <w:bookmarkEnd w:id="1"/>
    </w:p>
    <w:p>
      <w:pPr>
        <w:spacing w:after="130" w:line="262"/>
      </w:pPr>
      <w:r>
        <w:t xml:space="preserve">The simulation measures whether staff use the route, how quickly the first report arrives, and whether the route turns that first report into action before most recipients have opened the email. It is run only after the route test for the same channels has passed in the preceding 90 days. Running a simulation over a route that is known to fail measures nothing useful and spends staff goodwill.</w:t>
      </w:r>
    </w:p>
    <w:p>
      <w:pPr>
        <w:spacing w:after="60" w:line="120"/>
      </w:pPr>
      <w:r>
        <w:rPr>
          <w:sz w:val="4"/>
          <w:szCs w:val="4"/>
        </w:rPr>
        <w:t xml:space="preserve"/>
      </w:r>
    </w:p>
    <w:p>
      <w:pPr>
        <w:pStyle w:val="Heading2"/>
        <w:keepNext/>
        <w:keepLines/>
        <w:spacing w:after="90" w:before="220"/>
      </w:pPr>
      <w:bookmarkStart w:name="_RG0022" w:id="1"/>
      <w:r>
        <w:t xml:space="preserve">6.1  Scenario design at graded difficulty</w:t>
      </w:r>
      <w:bookmarkEnd w:id="1"/>
    </w:p>
    <w:p>
      <w:pPr>
        <w:spacing w:after="130" w:line="262"/>
      </w:pPr>
      <w:r>
        <w:t xml:space="preserve">Each scenario is rated for detection difficulty before it is sent, using the NIST Phish Scale, published as NIST Technical Note 2276, NIST Phish Scale User Guide (November 2023). The method combines two ratings:</w:t>
      </w:r>
    </w:p>
    <w:p>
      <w:pPr>
        <w:keepNext/>
        <w:keepLines/>
        <w:pBdr>
          <w:top w:val="single" w:color="D4DAE0" w:sz="4" w:space="9"/>
        </w:pBdr>
        <w:spacing w:after="46" w:before="110"/>
      </w:pPr>
      <w:r>
        <w:rPr>
          <w:b/>
          <w:bCs/>
          <w:color w:val="2E5C7A"/>
          <w:sz w:val="21"/>
          <w:szCs w:val="21"/>
        </w:rPr>
        <w:t xml:space="preserve">Cues</w:t>
      </w:r>
    </w:p>
    <w:p>
      <w:pPr>
        <w:spacing w:after="62" w:line="262"/>
        <w:ind w:left="172"/>
      </w:pPr>
      <w:r>
        <w:t xml:space="preserve">Observable features of the email that can warn a recipient it is a phish, such as errors, technical indicators, visual presentation, language and content, and common tactics. The guide groups 23 cues into five types. The count of cues present places the email in a category: Few (1 to 8 cues), Some (9 to 14) or Many (15 or more). Fewer cues make an email harder to detect.</w:t>
      </w:r>
    </w:p>
    <w:p>
      <w:pPr>
        <w:keepNext/>
        <w:keepLines/>
        <w:pBdr>
          <w:top w:val="single" w:color="D4DAE0" w:sz="4" w:space="9"/>
        </w:pBdr>
        <w:spacing w:after="46" w:before="170"/>
      </w:pPr>
      <w:r>
        <w:rPr>
          <w:b/>
          <w:bCs/>
          <w:color w:val="2E5C7A"/>
          <w:sz w:val="21"/>
          <w:szCs w:val="21"/>
        </w:rPr>
        <w:t xml:space="preserve">Premise alignment</w:t>
      </w:r>
    </w:p>
    <w:p>
      <w:pPr>
        <w:spacing w:after="62" w:line="262"/>
        <w:ind w:left="172"/>
      </w:pPr>
      <w:r>
        <w:t xml:space="preserve">How closely the premise of the email matches the work, roles and expectations of the people receiving it. The guide scores five elements, sums the first four and subtracts the fifth, which accounts for prior training or warnings about this kind of email. A rating of 10 or below is Weak, 11 to 17 Medium, and 18 or above Strong. Stronger alignment makes an email harder to detect.</w:t>
      </w:r>
    </w:p>
    <w:p>
      <w:pPr>
        <w:spacing w:after="130" w:line="262"/>
      </w:pPr>
      <w:r>
        <w:t xml:space="preserve">The two categories are combined into a detection difficulty of Least difficult, Moderately to least difficult, Moderately difficult, or Very difficult, using the matrix in the guide. The test lead records the cue count, the premise alignment score and the resulting difficulty on the scenario design sheet, Appendix D, and has a second person rate the same scenario independently. Where the two ratings differ, both are recorded and the harder rating is used.</w:t>
      </w:r>
    </w:p>
    <w:p>
      <w:pPr>
        <w:spacing w:after="130" w:line="262"/>
      </w:pPr>
      <w:r>
        <w:t xml:space="preserve">The guide states that click rates and reporting rates do not give a complete picture of phishing risk on their own, and that an email that is very difficult to detect may understandably produce a high click rate. For that reason no result from this procedure is reported without its difficulty rating, and trends are tracked within one difficulty band, not across bands.</w:t>
      </w:r>
    </w:p>
    <w:p>
      <w:pPr>
        <w:keepNext/>
        <w:spacing w:after="70" w:before="180"/>
      </w:pPr>
      <w:r>
        <w:rPr>
          <w:b/>
          <w:bCs/>
          <w:color w:val="15314B"/>
          <w:sz w:val="19"/>
          <w:szCs w:val="19"/>
        </w:rPr>
        <w:t xml:space="preserve">Scenario mix</w:t>
      </w:r>
    </w:p>
    <w:p>
      <w:pPr>
        <w:spacing w:after="130" w:line="262"/>
      </w:pPr>
      <w:r>
        <w:t xml:space="preserve">A simulation cycle uses not fewer than two scenarios at different difficulty ratings, sent to different random halves of the in-scope population, so that results at each difficulty can be compared over time. The default mix for an organization running its first cycle is one Least difficult and one Moderately difficult scenario. Very difficult scenarios are used only after two cycles have been completed and only with the sponsor's explicit approval on the authorization, because a very difficult email measures the email rather than the route.</w:t>
      </w:r>
    </w:p>
    <w:p>
      <w:pPr>
        <w:keepNext/>
        <w:spacing w:after="70" w:before="180"/>
      </w:pPr>
      <w:r>
        <w:rPr>
          <w:b/>
          <w:bCs/>
          <w:color w:val="15314B"/>
          <w:sz w:val="19"/>
          <w:szCs w:val="19"/>
        </w:rPr>
        <w:t xml:space="preserve">Scenario content</w:t>
      </w:r>
    </w:p>
    <w:p>
      <w:pPr>
        <w:pStyle w:val="ListParagraph"/>
        <w:numPr>
          <w:ilvl w:val="0"/>
          <w:numId w:val="2"/>
        </w:numPr>
        <w:spacing w:after="60" w:line="262"/>
      </w:pPr>
      <w:r>
        <w:t xml:space="preserve">Premises are drawn from email the organization actually receives: delivery notifications, shared document links, invoice queries, calendar invitations, account notices from generic services.</w:t>
      </w:r>
    </w:p>
    <w:p>
      <w:pPr>
        <w:pStyle w:val="ListParagraph"/>
        <w:numPr>
          <w:ilvl w:val="0"/>
          <w:numId w:val="2"/>
        </w:numPr>
        <w:spacing w:after="60" w:line="262"/>
      </w:pPr>
      <w:r>
        <w:t xml:space="preserve">Brands used are fictitious, or used only where the organization has a right to do so. Real third-party trademarks are not reproduced without permission.</w:t>
      </w:r>
    </w:p>
    <w:p>
      <w:pPr>
        <w:pStyle w:val="ListParagraph"/>
        <w:numPr>
          <w:ilvl w:val="0"/>
          <w:numId w:val="2"/>
        </w:numPr>
        <w:spacing w:after="60" w:line="262"/>
      </w:pPr>
      <w:r>
        <w:t xml:space="preserve">Each scenario has a single, harmless call to action: a link to a landing page on the test domain, or a sign-in form that does not capture passwords as required by section 4.4.</w:t>
      </w:r>
    </w:p>
    <w:p>
      <w:pPr>
        <w:pStyle w:val="ListParagraph"/>
        <w:numPr>
          <w:ilvl w:val="0"/>
          <w:numId w:val="2"/>
        </w:numPr>
        <w:spacing w:after="60" w:line="262"/>
      </w:pPr>
      <w:r>
        <w:t xml:space="preserve">Each scenario carries a unique identifier in a header that the mail platform and the simulation platform both record, so every report and every click can be attributed to the scenario without relying on the recipient's description.</w:t>
      </w:r>
    </w:p>
    <w:p>
      <w:pPr>
        <w:spacing w:after="60" w:line="120"/>
      </w:pPr>
      <w:r>
        <w:rPr>
          <w:sz w:val="4"/>
          <w:szCs w:val="4"/>
        </w:rPr>
        <w:t xml:space="preserve"/>
      </w:r>
    </w:p>
    <w:p>
      <w:pPr>
        <w:pStyle w:val="Heading2"/>
        <w:keepNext/>
        <w:keepLines/>
        <w:spacing w:after="90" w:before="220"/>
      </w:pPr>
      <w:bookmarkStart w:name="_RG0023" w:id="1"/>
      <w:r>
        <w:t xml:space="preserve">6.2  Timing</w:t>
      </w:r>
      <w:bookmarkEnd w:id="1"/>
    </w:p>
    <w:p>
      <w:pPr>
        <w:pStyle w:val="ListParagraph"/>
        <w:numPr>
          <w:ilvl w:val="0"/>
          <w:numId w:val="2"/>
        </w:numPr>
        <w:spacing w:after="60" w:line="262"/>
      </w:pPr>
      <w:r>
        <w:t xml:space="preserve">The window avoids the last three working days of a month or quarter, payroll dates, open enrollment periods, annual leave peaks, public holidays and the week of any organization-wide announcement.</w:t>
      </w:r>
    </w:p>
    <w:p>
      <w:pPr>
        <w:pStyle w:val="ListParagraph"/>
        <w:numPr>
          <w:ilvl w:val="0"/>
          <w:numId w:val="2"/>
        </w:numPr>
        <w:spacing w:after="60" w:line="262"/>
      </w:pPr>
      <w:r>
        <w:t xml:space="preserve">Delivery is staggered across the window in random batches over not more than two working days, so that recipients cannot warn each other in time to distort the first-report measure and so that the mail platform does not throttle a single large send.</w:t>
      </w:r>
    </w:p>
    <w:p>
      <w:pPr>
        <w:pStyle w:val="ListParagraph"/>
        <w:numPr>
          <w:ilvl w:val="0"/>
          <w:numId w:val="2"/>
        </w:numPr>
        <w:spacing w:after="60" w:line="262"/>
      </w:pPr>
      <w:r>
        <w:t xml:space="preserve">At least one batch is delivered early in the working day and at least one in the afternoon, because reporting behavior and responder availability both vary through the day.</w:t>
      </w:r>
    </w:p>
    <w:p>
      <w:pPr>
        <w:pStyle w:val="ListParagraph"/>
        <w:numPr>
          <w:ilvl w:val="0"/>
          <w:numId w:val="2"/>
        </w:numPr>
        <w:spacing w:after="60" w:line="262"/>
      </w:pPr>
      <w:r>
        <w:t xml:space="preserve">The simulation runs for 5 working days from the last delivery. Reports and clicks after that are recorded but excluded from the measured results.</w:t>
      </w:r>
    </w:p>
    <w:p>
      <w:pPr>
        <w:pStyle w:val="ListParagraph"/>
        <w:numPr>
          <w:ilvl w:val="0"/>
          <w:numId w:val="2"/>
        </w:numPr>
        <w:spacing w:after="60" w:line="262"/>
      </w:pPr>
      <w:r>
        <w:t xml:space="preserve">Each member of staff receives no more than one simulated email per month.</w:t>
      </w:r>
    </w:p>
    <w:p>
      <w:pPr>
        <w:spacing w:after="60" w:line="120"/>
      </w:pPr>
      <w:r>
        <w:rPr>
          <w:sz w:val="4"/>
          <w:szCs w:val="4"/>
        </w:rPr>
        <w:t xml:space="preserve"/>
      </w:r>
    </w:p>
    <w:p>
      <w:pPr>
        <w:pStyle w:val="Heading2"/>
        <w:keepNext/>
        <w:keepLines/>
        <w:spacing w:after="90" w:before="220"/>
      </w:pPr>
      <w:bookmarkStart w:name="_RG0024" w:id="1"/>
      <w:r>
        <w:t xml:space="preserve">6.3  Delivery and allowlisting</w:t>
      </w:r>
      <w:bookmarkEnd w:id="1"/>
    </w:p>
    <w:p>
      <w:pPr>
        <w:spacing w:after="130" w:line="262"/>
      </w:pPr>
      <w:r>
        <w:t xml:space="preserve">A simulation is only a test if it is delivered. The test lead arranges with the mail platform administrator for simulation messages to bypass filtering using the mail platform's sanctioned mechanism for phishing simulations, not by turning off protections for all mail. Appendix G gives guidance on how common platforms provide this.</w:t>
      </w:r>
    </w:p>
    <w:p>
      <w:pPr>
        <w:spacing w:after="130" w:line="262"/>
      </w:pPr>
      <w:r>
        <w:t xml:space="preserve">Before the window, the test lead sends each scenario to not fewer than three white cell mailboxes on each client type and confirms:</w:t>
      </w:r>
    </w:p>
    <w:p>
      <w:pPr>
        <w:pStyle w:val="ListParagraph"/>
        <w:numPr>
          <w:ilvl w:val="0"/>
          <w:numId w:val="6"/>
        </w:numPr>
        <w:spacing w:after="60" w:line="262"/>
      </w:pPr>
      <w:r>
        <w:t xml:space="preserve">The message arrives in the inbox, not in junk or quarantine.</w:t>
      </w:r>
    </w:p>
    <w:p>
      <w:pPr>
        <w:pStyle w:val="ListParagraph"/>
        <w:numPr>
          <w:ilvl w:val="0"/>
          <w:numId w:val="6"/>
        </w:numPr>
        <w:spacing w:after="60" w:line="262"/>
      </w:pPr>
      <w:r>
        <w:t xml:space="preserve">Links resolve to the landing page and are not blocked at click time.</w:t>
      </w:r>
    </w:p>
    <w:p>
      <w:pPr>
        <w:pStyle w:val="ListParagraph"/>
        <w:numPr>
          <w:ilvl w:val="0"/>
          <w:numId w:val="6"/>
        </w:numPr>
        <w:spacing w:after="60" w:line="262"/>
      </w:pPr>
      <w:r>
        <w:t xml:space="preserve">A report made through each sanctioned channel reaches the destination.</w:t>
      </w:r>
    </w:p>
    <w:p>
      <w:pPr>
        <w:pStyle w:val="ListParagraph"/>
        <w:numPr>
          <w:ilvl w:val="0"/>
          <w:numId w:val="6"/>
        </w:numPr>
        <w:spacing w:after="60" w:line="262"/>
      </w:pPr>
      <w:r>
        <w:t xml:space="preserve">Reporting the simulation does not cause the mail platform to suppress the report, hide it from the reporting destination, or assign automatic training to the reporter. Some platforms treat reported simulation messages differently from reported real ones; where that happens, the simulation measures staff reporting but does not measure the responder half of the route, and the test lead relies on the planted report in section 5 for that half.</w:t>
      </w:r>
    </w:p>
    <w:p>
      <w:pPr>
        <w:pStyle w:val="ListParagraph"/>
        <w:numPr>
          <w:ilvl w:val="0"/>
          <w:numId w:val="6"/>
        </w:numPr>
        <w:spacing w:after="60" w:line="262"/>
      </w:pPr>
      <w:r>
        <w:t xml:space="preserve">The landing page records a submission without storing the password, as required by section 4.4.</w:t>
      </w:r>
    </w:p>
    <w:p>
      <w:pPr>
        <w:spacing w:after="60" w:line="120"/>
      </w:pPr>
      <w:r>
        <w:rPr>
          <w:sz w:val="4"/>
          <w:szCs w:val="4"/>
        </w:rPr>
        <w:t xml:space="preserve"/>
      </w:r>
    </w:p>
    <w:p>
      <w:pPr>
        <w:pStyle w:val="Heading2"/>
        <w:keepNext/>
        <w:keepLines/>
        <w:spacing w:after="90" w:before="220"/>
      </w:pPr>
      <w:bookmarkStart w:name="_RG0025" w:id="1"/>
      <w:r>
        <w:t xml:space="preserve">6.4  Keeping the help desk and responders blind without causing harm</w:t>
      </w:r>
      <w:bookmarkEnd w:id="1"/>
    </w:p>
    <w:p>
      <w:pPr>
        <w:spacing w:after="130" w:line="262"/>
      </w:pPr>
      <w:r>
        <w:t xml:space="preserve">Responders and the help desk are not told the window, because their response is part of the measure. The following controls prevent that blindness from causing harm:</w:t>
      </w:r>
    </w:p>
    <w:p>
      <w:pPr>
        <w:pStyle w:val="ListParagraph"/>
        <w:numPr>
          <w:ilvl w:val="0"/>
          <w:numId w:val="2"/>
        </w:numPr>
        <w:spacing w:after="60" w:line="262"/>
      </w:pPr>
      <w:r>
        <w:t xml:space="preserve">The deconfliction arrangement in section 4.3 is in force for the whole window.</w:t>
      </w:r>
    </w:p>
    <w:p>
      <w:pPr>
        <w:pStyle w:val="ListParagraph"/>
        <w:numPr>
          <w:ilvl w:val="0"/>
          <w:numId w:val="2"/>
        </w:numPr>
        <w:spacing w:after="60" w:line="262"/>
      </w:pPr>
      <w:r>
        <w:t xml:space="preserve">The simulation platform's own reporting add-in, if one exists, is not deployed for the test if it would route reports to the platform instead of the organization's real destination. Staff use the real sanctioned channel, so the test measures the real route.</w:t>
      </w:r>
    </w:p>
    <w:p>
      <w:pPr>
        <w:pStyle w:val="ListParagraph"/>
        <w:numPr>
          <w:ilvl w:val="0"/>
          <w:numId w:val="2"/>
        </w:numPr>
        <w:spacing w:after="60" w:line="262"/>
      </w:pPr>
      <w:r>
        <w:t xml:space="preserve">If responders remove the simulation from all mailboxes, block the sender or send an all-staff warning, those actions are recorded as successful containment and are not reversed until the observation period ends. A simulation that is contained early has produced the result the procedure exists to find.</w:t>
      </w:r>
    </w:p>
    <w:p>
      <w:pPr>
        <w:pStyle w:val="ListParagraph"/>
        <w:numPr>
          <w:ilvl w:val="0"/>
          <w:numId w:val="2"/>
        </w:numPr>
        <w:spacing w:after="60" w:line="262"/>
      </w:pPr>
      <w:r>
        <w:t xml:space="preserve">If responders do not act, the test lead does not prompt them. The absence of action is the finding.</w:t>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A CONTAINED SIMULATION IS A PASS, NOT A SPOILED TEST</w:t>
            </w:r>
          </w:p>
          <w:p>
            <w:pPr>
              <w:spacing w:after="0" w:line="262"/>
            </w:pPr>
            <w:r>
              <w:t xml:space="preserve">Test leads are often tempted to stop responders from purging the simulation because it cuts the click data short. Do not. The purpose of the test is to find out whether one report protects everybody else. If it does, the click rate for that campaign will be low for the best possible reason, and the report should say exactly that.</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26" w:id="1"/>
      <w:r>
        <w:t xml:space="preserve">6.5  Data handling</w:t>
      </w:r>
      <w:bookmarkEnd w:id="1"/>
    </w:p>
    <w:p>
      <w:pPr>
        <w:spacing w:after="130" w:line="262"/>
      </w:pPr>
      <w:r>
        <w:t xml:space="preserve">The simulation platform and the test lead hold individual-level results: who received each scenario, who reported, who clicked and who submitted, with times. Access is restricted to the test lead and the program owner. Individual-level records are deleted 12 months after the end of the cycle; aggregated results are retained for the life of the program. The privacy notice for staff describes this processing before the first cycle.</w:t>
      </w:r>
    </w:p>
    <w:p>
      <w:pPr>
        <w:spacing w:after="60" w:line="120"/>
      </w:pPr>
      <w:r>
        <w:rPr>
          <w:sz w:val="4"/>
          <w:szCs w:val="4"/>
        </w:rPr>
        <w:t xml:space="preserve"/>
      </w:r>
    </w:p>
    <w:p>
      <w:pPr>
        <w:pStyle w:val="Heading1"/>
        <w:keepNext/>
        <w:keepLines/>
        <w:pBdr>
          <w:bottom w:val="single" w:color="D4DAE0" w:sz="4" w:space="4"/>
        </w:pBdr>
        <w:spacing w:after="140" w:before="300"/>
      </w:pPr>
      <w:bookmarkStart w:name="_RG0027" w:id="1"/>
      <w:r>
        <w:t xml:space="preserve">7.  Measurement definitions</w:t>
      </w:r>
      <w:bookmarkEnd w:id="1"/>
    </w:p>
    <w:p>
      <w:pPr>
        <w:spacing w:after="130" w:line="262"/>
      </w:pPr>
      <w:r>
        <w:t xml:space="preserve">Every measure is computed from system records using the definitions below. Counts are of unique people, not events: a recipient who reports twice counts once.</w:t>
      </w:r>
    </w:p>
    <w:p>
      <w:pPr>
        <w:spacing w:after="60" w:line="120"/>
      </w:pPr>
      <w:r>
        <w:rPr>
          <w:sz w:val="4"/>
          <w:szCs w:val="4"/>
        </w:rPr>
        <w:t xml:space="preserve"/>
      </w:r>
    </w:p>
    <w:p>
      <w:pPr>
        <w:pStyle w:val="Heading2"/>
        <w:keepNext/>
        <w:keepLines/>
        <w:spacing w:after="90" w:before="220"/>
      </w:pPr>
      <w:bookmarkStart w:name="_RG0028" w:id="1"/>
      <w:r>
        <w:t xml:space="preserve">7.1  Primary measures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339"/>
        <w:gridCol w:w="3898"/>
        <w:gridCol w:w="3509"/>
      </w:tblGrid>
      <w:tr>
        <w:trPr>
          <w:cantSplit/>
          <w:tblHeader/>
        </w:trPr>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Measure</w:t>
            </w:r>
          </w:p>
        </w:tc>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Formula</w:t>
            </w:r>
          </w:p>
        </w:tc>
        <w:tc>
          <w:tcPr>
            <w:tcW w:type="dxa" w:w="350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Notes</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Delivered recipients (D)</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Count of in-scope recipients whose mailbox received the scenario, from message trace</w:t>
            </w:r>
          </w:p>
        </w:tc>
        <w:tc>
          <w:tcPr>
            <w:tcW w:type="dxa" w:w="3509"/>
            <w:shd w:fill="FFFFFF" w:color="auto" w:val="clear"/>
            <w:tcMar>
              <w:top w:type="dxa" w:w="70"/>
              <w:left w:type="dxa" w:w="100"/>
              <w:bottom w:type="dxa" w:w="70"/>
              <w:right w:type="dxa" w:w="100"/>
            </w:tcMar>
            <w:vAlign w:val="top"/>
          </w:tcPr>
          <w:p>
            <w:pPr>
              <w:spacing w:after="0" w:before="0" w:line="252"/>
            </w:pPr>
            <w:r>
              <w:rPr>
                <w:sz w:val="17"/>
                <w:szCs w:val="17"/>
              </w:rPr>
              <w:t xml:space="preserve">The denominator for every rate. Messages quarantined, bounced or removed by filtering before delivery are excluded and counted separately as a delivery finding</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Reporting rate</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Unique recipients who reported through a sanctioned channel within the observation period / D</w:t>
            </w:r>
          </w:p>
        </w:tc>
        <w:tc>
          <w:tcPr>
            <w:tcW w:type="dxa" w:w="3509"/>
            <w:shd w:fill="F2F4F6" w:color="auto" w:val="clear"/>
            <w:tcMar>
              <w:top w:type="dxa" w:w="70"/>
              <w:left w:type="dxa" w:w="100"/>
              <w:bottom w:type="dxa" w:w="70"/>
              <w:right w:type="dxa" w:w="100"/>
            </w:tcMar>
            <w:vAlign w:val="top"/>
          </w:tcPr>
          <w:p>
            <w:pPr>
              <w:spacing w:after="0" w:before="0" w:line="252"/>
            </w:pPr>
            <w:r>
              <w:rPr>
                <w:sz w:val="17"/>
                <w:szCs w:val="17"/>
              </w:rPr>
              <w:t xml:space="preserve">Reports through unsanctioned channels (a call to the help desk, a message to a colleague in IT) are counted separately and shown alongside</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Unsanctioned report rate</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Unique recipients who reported only through an unsanctioned channel / D</w:t>
            </w:r>
          </w:p>
        </w:tc>
        <w:tc>
          <w:tcPr>
            <w:tcW w:type="dxa" w:w="3509"/>
            <w:shd w:fill="FFFFFF" w:color="auto" w:val="clear"/>
            <w:tcMar>
              <w:top w:type="dxa" w:w="70"/>
              <w:left w:type="dxa" w:w="100"/>
              <w:bottom w:type="dxa" w:w="70"/>
              <w:right w:type="dxa" w:w="100"/>
            </w:tcMar>
            <w:vAlign w:val="top"/>
          </w:tcPr>
          <w:p>
            <w:pPr>
              <w:spacing w:after="0" w:before="0" w:line="252"/>
            </w:pPr>
            <w:r>
              <w:rPr>
                <w:sz w:val="17"/>
                <w:szCs w:val="17"/>
              </w:rPr>
              <w:t xml:space="preserve">A high value means staff want to report but the sanctioned channel is unknown or inconvenient</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Time to first report</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Arrival time of the first sanctioned report at the destination minus the delivery time of the first batch</w:t>
            </w:r>
          </w:p>
        </w:tc>
        <w:tc>
          <w:tcPr>
            <w:tcW w:type="dxa" w:w="3509"/>
            <w:shd w:fill="F2F4F6" w:color="auto" w:val="clear"/>
            <w:tcMar>
              <w:top w:type="dxa" w:w="70"/>
              <w:left w:type="dxa" w:w="100"/>
              <w:bottom w:type="dxa" w:w="70"/>
              <w:right w:type="dxa" w:w="100"/>
            </w:tcMar>
            <w:vAlign w:val="top"/>
          </w:tcPr>
          <w:p>
            <w:pPr>
              <w:spacing w:after="0" w:before="0" w:line="252"/>
            </w:pPr>
            <w:r>
              <w:rPr>
                <w:sz w:val="17"/>
                <w:szCs w:val="17"/>
              </w:rPr>
              <w:t xml:space="preserve">Also recorded per batch: arrival of first report from that batch minus that batch's delivery time</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Time to triage</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Time the responder recorded a classification for any report of the scenario minus arrival time of the first report</w:t>
            </w:r>
          </w:p>
        </w:tc>
        <w:tc>
          <w:tcPr>
            <w:tcW w:type="dxa" w:w="3509"/>
            <w:shd w:fill="FFFFFF" w:color="auto" w:val="clear"/>
            <w:tcMar>
              <w:top w:type="dxa" w:w="70"/>
              <w:left w:type="dxa" w:w="100"/>
              <w:bottom w:type="dxa" w:w="70"/>
              <w:right w:type="dxa" w:w="100"/>
            </w:tcMar>
            <w:vAlign w:val="top"/>
          </w:tcPr>
          <w:p>
            <w:pPr>
              <w:spacing w:after="0" w:before="0" w:line="252"/>
            </w:pPr>
            <w:r>
              <w:rPr>
                <w:sz w:val="17"/>
                <w:szCs w:val="17"/>
              </w:rPr>
              <w:t xml:space="preserve">Measured from the first report, not from the report the responder happened to open</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Time to containment action</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Completion time of removal from all mailboxes minus arrival time of the first report</w:t>
            </w:r>
          </w:p>
        </w:tc>
        <w:tc>
          <w:tcPr>
            <w:tcW w:type="dxa" w:w="3509"/>
            <w:shd w:fill="F2F4F6" w:color="auto" w:val="clear"/>
            <w:tcMar>
              <w:top w:type="dxa" w:w="70"/>
              <w:left w:type="dxa" w:w="100"/>
              <w:bottom w:type="dxa" w:w="70"/>
              <w:right w:type="dxa" w:w="100"/>
            </w:tcMar>
            <w:vAlign w:val="top"/>
          </w:tcPr>
          <w:p>
            <w:pPr>
              <w:spacing w:after="0" w:before="0" w:line="252"/>
            </w:pPr>
            <w:r>
              <w:rPr>
                <w:sz w:val="17"/>
                <w:szCs w:val="17"/>
              </w:rPr>
              <w:t xml:space="preserve">Recorded separately for sender block, URL block, and credential reset with session revocation of any account that submitted</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Containment coverage</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Copies removed by the containment action / copies delivered</w:t>
            </w:r>
          </w:p>
        </w:tc>
        <w:tc>
          <w:tcPr>
            <w:tcW w:type="dxa" w:w="3509"/>
            <w:shd w:fill="FFFFFF" w:color="auto" w:val="clear"/>
            <w:tcMar>
              <w:top w:type="dxa" w:w="70"/>
              <w:left w:type="dxa" w:w="100"/>
              <w:bottom w:type="dxa" w:w="70"/>
              <w:right w:type="dxa" w:w="100"/>
            </w:tcMar>
            <w:vAlign w:val="top"/>
          </w:tcPr>
          <w:p>
            <w:pPr>
              <w:spacing w:after="0" w:before="0" w:line="252"/>
            </w:pPr>
            <w:r>
              <w:rPr>
                <w:sz w:val="17"/>
                <w:szCs w:val="17"/>
              </w:rPr>
              <w:t xml:space="preserve">Below 1.0 means the search criteria missed copies; the shortfall is a finding</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Exposure before containment</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Unique recipients who clicked before removal completed / D</w:t>
            </w:r>
          </w:p>
        </w:tc>
        <w:tc>
          <w:tcPr>
            <w:tcW w:type="dxa" w:w="3509"/>
            <w:shd w:fill="F2F4F6" w:color="auto" w:val="clear"/>
            <w:tcMar>
              <w:top w:type="dxa" w:w="70"/>
              <w:left w:type="dxa" w:w="100"/>
              <w:bottom w:type="dxa" w:w="70"/>
              <w:right w:type="dxa" w:w="100"/>
            </w:tcMar>
            <w:vAlign w:val="top"/>
          </w:tcPr>
          <w:p>
            <w:pPr>
              <w:spacing w:after="0" w:before="0" w:line="252"/>
            </w:pPr>
            <w:r>
              <w:rPr>
                <w:sz w:val="17"/>
                <w:szCs w:val="17"/>
              </w:rPr>
              <w:t xml:space="preserve">The share of the organization the route failed to protect in time</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29" w:id="1"/>
      <w:r>
        <w:t xml:space="preserve">7.2  Secondary measures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339"/>
        <w:gridCol w:w="3898"/>
        <w:gridCol w:w="3509"/>
      </w:tblGrid>
      <w:tr>
        <w:trPr>
          <w:cantSplit/>
          <w:tblHeader/>
        </w:trPr>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Measure</w:t>
            </w:r>
          </w:p>
        </w:tc>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Formula</w:t>
            </w:r>
          </w:p>
        </w:tc>
        <w:tc>
          <w:tcPr>
            <w:tcW w:type="dxa" w:w="350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Notes</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Click rate</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Unique recipients who opened the link or attachment / D</w:t>
            </w:r>
          </w:p>
        </w:tc>
        <w:tc>
          <w:tcPr>
            <w:tcW w:type="dxa" w:w="3509"/>
            <w:shd w:fill="FFFFFF" w:color="auto" w:val="clear"/>
            <w:tcMar>
              <w:top w:type="dxa" w:w="70"/>
              <w:left w:type="dxa" w:w="100"/>
              <w:bottom w:type="dxa" w:w="70"/>
              <w:right w:type="dxa" w:w="100"/>
            </w:tcMar>
            <w:vAlign w:val="top"/>
          </w:tcPr>
          <w:p>
            <w:pPr>
              <w:spacing w:after="0" w:before="0" w:line="252"/>
            </w:pPr>
            <w:r>
              <w:rPr>
                <w:sz w:val="17"/>
                <w:szCs w:val="17"/>
              </w:rPr>
              <w:t xml:space="preserve">Some security tools follow links automatically; clicks from known scanner addresses or within seconds of delivery are excluded and the exclusion rule is recorded</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Credential submission rate</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Unique recipients who submitted the form / D</w:t>
            </w:r>
          </w:p>
        </w:tc>
        <w:tc>
          <w:tcPr>
            <w:tcW w:type="dxa" w:w="3509"/>
            <w:shd w:fill="F2F4F6" w:color="auto" w:val="clear"/>
            <w:tcMar>
              <w:top w:type="dxa" w:w="70"/>
              <w:left w:type="dxa" w:w="100"/>
              <w:bottom w:type="dxa" w:w="70"/>
              <w:right w:type="dxa" w:w="100"/>
            </w:tcMar>
            <w:vAlign w:val="top"/>
          </w:tcPr>
          <w:p>
            <w:pPr>
              <w:spacing w:after="0" w:before="0" w:line="252"/>
            </w:pPr>
            <w:r>
              <w:rPr>
                <w:sz w:val="17"/>
                <w:szCs w:val="17"/>
              </w:rPr>
              <w:t xml:space="preserve">No password content is stored; the measure is the fact of submission</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Click-then-report rate</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Unique recipients who clicked and then reported / unique recipients who clicked</w:t>
            </w:r>
          </w:p>
        </w:tc>
        <w:tc>
          <w:tcPr>
            <w:tcW w:type="dxa" w:w="3509"/>
            <w:shd w:fill="FFFFFF" w:color="auto" w:val="clear"/>
            <w:tcMar>
              <w:top w:type="dxa" w:w="70"/>
              <w:left w:type="dxa" w:w="100"/>
              <w:bottom w:type="dxa" w:w="70"/>
              <w:right w:type="dxa" w:w="100"/>
            </w:tcMar>
            <w:vAlign w:val="top"/>
          </w:tcPr>
          <w:p>
            <w:pPr>
              <w:spacing w:after="0" w:before="0" w:line="252"/>
            </w:pPr>
            <w:r>
              <w:rPr>
                <w:sz w:val="17"/>
                <w:szCs w:val="17"/>
              </w:rPr>
              <w:t xml:space="preserve">The single most useful staff behavior after a click; a falling value suggests staff fear consequences</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Report-before-click ratio</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Unique reporters who did not click / unique clickers who did not report</w:t>
            </w:r>
          </w:p>
        </w:tc>
        <w:tc>
          <w:tcPr>
            <w:tcW w:type="dxa" w:w="3509"/>
            <w:shd w:fill="F2F4F6" w:color="auto" w:val="clear"/>
            <w:tcMar>
              <w:top w:type="dxa" w:w="70"/>
              <w:left w:type="dxa" w:w="100"/>
              <w:bottom w:type="dxa" w:w="70"/>
              <w:right w:type="dxa" w:w="100"/>
            </w:tcMar>
            <w:vAlign w:val="top"/>
          </w:tcPr>
          <w:p>
            <w:pPr>
              <w:spacing w:after="0" w:before="0" w:line="252"/>
            </w:pPr>
            <w:r>
              <w:rPr>
                <w:sz w:val="17"/>
                <w:szCs w:val="17"/>
              </w:rPr>
              <w:t xml:space="preserve">Above 1.0 means reporting outweighs uncaught clicks for this scenario</w:t>
            </w:r>
          </w:p>
        </w:tc>
      </w:tr>
    </w:tbl>
    <w:p>
      <w:pPr>
        <w:spacing w:after="120" w:line="120"/>
      </w:pPr>
      <w:r>
        <w:rPr>
          <w:sz w:val="4"/>
          <w:szCs w:val="4"/>
        </w:rPr>
        <w:t xml:space="preserve"/>
      </w:r>
    </w:p>
    <w:p>
      <w:pPr>
        <w:spacing w:after="130" w:line="262"/>
      </w:pPr>
      <w:r>
        <w:t xml:space="preserve">NIST SP 800-50 Rev. 1 identifies the percentage of participants who changed a behavior, giving reporting a suspected phishing email as an example, as a measure of a learning program's effect. This procedure treats the reporting rate and the click-then-report rate as the behavior measures, and the click rate as context.</w:t>
      </w:r>
    </w:p>
    <w:p>
      <w:pPr>
        <w:spacing w:after="60" w:line="120"/>
      </w:pPr>
      <w:r>
        <w:rPr>
          <w:sz w:val="4"/>
          <w:szCs w:val="4"/>
        </w:rPr>
        <w:t xml:space="preserve"/>
      </w:r>
    </w:p>
    <w:p>
      <w:pPr>
        <w:pStyle w:val="Heading2"/>
        <w:keepNext/>
        <w:keepLines/>
        <w:spacing w:after="90" w:before="220"/>
      </w:pPr>
      <w:bookmarkStart w:name="_RG0030" w:id="1"/>
      <w:r>
        <w:t xml:space="preserve">7.3  Repeat clickers</w:t>
      </w:r>
      <w:bookmarkEnd w:id="1"/>
    </w:p>
    <w:p>
      <w:pPr>
        <w:spacing w:after="130" w:line="262"/>
      </w:pPr>
      <w:r>
        <w:t xml:space="preserve">A repeat clicker is a member of staff who clicked in two consecutive cycles at the same or lower difficulty. The program owner holds the list privately and uses it only to offer support: a short one-to-one conversation with the program owner or a member of the IT team, a check that the person knows the reporting channel and can reach it on the device they use, and a review of whether the person's role exposes them to unusually high volumes of external email. The list is never shared with line managers, never used in performance assessment and never disclosed in any report. Names are removed from the list after two consecutive cycles without a click.</w:t>
      </w:r>
    </w:p>
    <w:p>
      <w:pPr>
        <w:spacing w:after="130" w:line="262"/>
      </w:pPr>
      <w:r>
        <w:t xml:space="preserve">Repeated clicks within one team are often a sign of a process fault, such as a role that must open external invoices and links all day with no way to verify them, rather than of individual carelessness. Where three or more members of one team appear on the list, the program owner reviews the team's process with its manager without naming individuals.</w:t>
      </w:r>
    </w:p>
    <w:p>
      <w:pPr>
        <w:spacing w:after="60" w:line="120"/>
      </w:pPr>
      <w:r>
        <w:rPr>
          <w:sz w:val="4"/>
          <w:szCs w:val="4"/>
        </w:rPr>
        <w:t xml:space="preserve"/>
      </w:r>
    </w:p>
    <w:p>
      <w:pPr>
        <w:pStyle w:val="Heading1"/>
        <w:keepNext/>
        <w:keepLines/>
        <w:pBdr>
          <w:bottom w:val="single" w:color="D4DAE0" w:sz="4" w:space="4"/>
        </w:pBdr>
        <w:spacing w:after="140" w:before="300"/>
      </w:pPr>
      <w:bookmarkStart w:name="_RG0031" w:id="1"/>
      <w:r>
        <w:t xml:space="preserve">8.  Results analysis and where routes break</w:t>
      </w:r>
      <w:bookmarkEnd w:id="1"/>
    </w:p>
    <w:p>
      <w:pPr>
        <w:spacing w:after="130" w:line="262"/>
      </w:pPr>
      <w:r>
        <w:t xml:space="preserve">The test lead analyzes results within 10 working days of the close of the observation period, hop by hop, using the route map in Appendix B and the results record in Appendix E. For each hop the analysis states whether it passed, the measured time, and where it failed, the point of failure and the evidence.</w:t>
      </w:r>
    </w:p>
    <w:p>
      <w:pPr>
        <w:spacing w:after="60" w:line="120"/>
      </w:pPr>
      <w:r>
        <w:rPr>
          <w:sz w:val="4"/>
          <w:szCs w:val="4"/>
        </w:rPr>
        <w:t xml:space="preserve"/>
      </w:r>
    </w:p>
    <w:p>
      <w:pPr>
        <w:pStyle w:val="Heading2"/>
        <w:keepNext/>
        <w:keepLines/>
        <w:spacing w:after="90" w:before="220"/>
      </w:pPr>
      <w:bookmarkStart w:name="_RG0032" w:id="1"/>
      <w:r>
        <w:t xml:space="preserve">8.1  Common failure points</w:t>
      </w:r>
      <w:bookmarkEnd w:id="1"/>
    </w:p>
    <w:p>
      <w:pPr>
        <w:spacing w:after="130" w:line="262"/>
      </w:pPr>
      <w:r>
        <w:t xml:space="preserve">The following failures are recorded often enough that every analysis checks for them explicitly.</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728"/>
        <w:gridCol w:w="3703"/>
        <w:gridCol w:w="3315"/>
      </w:tblGrid>
      <w:tr>
        <w:trPr>
          <w:cantSplit/>
          <w:tblHeader/>
        </w:trPr>
        <w:tc>
          <w:tcPr>
            <w:tcW w:type="dxa" w:w="272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Failure</w:t>
            </w:r>
          </w:p>
        </w:tc>
        <w:tc>
          <w:tcPr>
            <w:tcW w:type="dxa" w:w="370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How it shows in the results</w:t>
            </w:r>
          </w:p>
        </w:tc>
        <w:tc>
          <w:tcPr>
            <w:tcW w:type="dxa" w:w="331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How to confirm</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Report button not available on mobile or web mail</w:t>
            </w:r>
          </w:p>
        </w:tc>
        <w:tc>
          <w:tcPr>
            <w:tcW w:type="dxa" w:w="3703"/>
            <w:shd w:fill="FFFFFF" w:color="auto" w:val="clear"/>
            <w:tcMar>
              <w:top w:type="dxa" w:w="70"/>
              <w:left w:type="dxa" w:w="100"/>
              <w:bottom w:type="dxa" w:w="70"/>
              <w:right w:type="dxa" w:w="100"/>
            </w:tcMar>
            <w:vAlign w:val="top"/>
          </w:tcPr>
          <w:p>
            <w:pPr>
              <w:spacing w:after="0" w:before="0" w:line="252"/>
            </w:pPr>
            <w:r>
              <w:rPr>
                <w:sz w:val="17"/>
                <w:szCs w:val="17"/>
              </w:rPr>
              <w:t xml:space="preserve">Reporting rate much lower among staff who mainly read mail on phones; planted report from mobile never arrives</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Planted report from each client type; client inventory against button deployment</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Shared mailbox nobody owns</w:t>
            </w:r>
          </w:p>
        </w:tc>
        <w:tc>
          <w:tcPr>
            <w:tcW w:type="dxa" w:w="3703"/>
            <w:shd w:fill="F2F4F6" w:color="auto" w:val="clear"/>
            <w:tcMar>
              <w:top w:type="dxa" w:w="70"/>
              <w:left w:type="dxa" w:w="100"/>
              <w:bottom w:type="dxa" w:w="70"/>
              <w:right w:type="dxa" w:w="100"/>
            </w:tcMar>
            <w:vAlign w:val="top"/>
          </w:tcPr>
          <w:p>
            <w:pPr>
              <w:spacing w:after="0" w:before="0" w:line="252"/>
            </w:pPr>
            <w:r>
              <w:rPr>
                <w:sz w:val="17"/>
                <w:szCs w:val="17"/>
              </w:rPr>
              <w:t xml:space="preserve">Reports arrive, first touch never happens or takes days</w:t>
            </w:r>
          </w:p>
        </w:tc>
        <w:tc>
          <w:tcPr>
            <w:tcW w:type="dxa" w:w="3315"/>
            <w:shd w:fill="F2F4F6" w:color="auto" w:val="clear"/>
            <w:tcMar>
              <w:top w:type="dxa" w:w="70"/>
              <w:left w:type="dxa" w:w="100"/>
              <w:bottom w:type="dxa" w:w="70"/>
              <w:right w:type="dxa" w:w="100"/>
            </w:tcMar>
            <w:vAlign w:val="top"/>
          </w:tcPr>
          <w:p>
            <w:pPr>
              <w:spacing w:after="0" w:before="0" w:line="252"/>
            </w:pPr>
            <w:r>
              <w:rPr>
                <w:sz w:val="17"/>
                <w:szCs w:val="17"/>
              </w:rPr>
              <w:t xml:space="preserve">Mailbox audit log shows no reads in the period; nobody can name the owner</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Reports auto-closed</w:t>
            </w:r>
          </w:p>
        </w:tc>
        <w:tc>
          <w:tcPr>
            <w:tcW w:type="dxa" w:w="3703"/>
            <w:shd w:fill="FFFFFF" w:color="auto" w:val="clear"/>
            <w:tcMar>
              <w:top w:type="dxa" w:w="70"/>
              <w:left w:type="dxa" w:w="100"/>
              <w:bottom w:type="dxa" w:w="70"/>
              <w:right w:type="dxa" w:w="100"/>
            </w:tcMar>
            <w:vAlign w:val="top"/>
          </w:tcPr>
          <w:p>
            <w:pPr>
              <w:spacing w:after="0" w:before="0" w:line="252"/>
            </w:pPr>
            <w:r>
              <w:rPr>
                <w:sz w:val="17"/>
                <w:szCs w:val="17"/>
              </w:rPr>
              <w:t xml:space="preserve">Tickets created and closed within seconds with no classification</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Ticket history shows closure by a rule or automation account</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Reports filtered at the destination</w:t>
            </w:r>
          </w:p>
        </w:tc>
        <w:tc>
          <w:tcPr>
            <w:tcW w:type="dxa" w:w="3703"/>
            <w:shd w:fill="F2F4F6" w:color="auto" w:val="clear"/>
            <w:tcMar>
              <w:top w:type="dxa" w:w="70"/>
              <w:left w:type="dxa" w:w="100"/>
              <w:bottom w:type="dxa" w:w="70"/>
              <w:right w:type="dxa" w:w="100"/>
            </w:tcMar>
            <w:vAlign w:val="top"/>
          </w:tcPr>
          <w:p>
            <w:pPr>
              <w:spacing w:after="0" w:before="0" w:line="252"/>
            </w:pPr>
            <w:r>
              <w:rPr>
                <w:sz w:val="17"/>
                <w:szCs w:val="17"/>
              </w:rPr>
              <w:t xml:space="preserve">Report sent but not visible in the destination folder</w:t>
            </w:r>
          </w:p>
        </w:tc>
        <w:tc>
          <w:tcPr>
            <w:tcW w:type="dxa" w:w="3315"/>
            <w:shd w:fill="F2F4F6" w:color="auto" w:val="clear"/>
            <w:tcMar>
              <w:top w:type="dxa" w:w="70"/>
              <w:left w:type="dxa" w:w="100"/>
              <w:bottom w:type="dxa" w:w="70"/>
              <w:right w:type="dxa" w:w="100"/>
            </w:tcMar>
            <w:vAlign w:val="top"/>
          </w:tcPr>
          <w:p>
            <w:pPr>
              <w:spacing w:after="0" w:before="0" w:line="252"/>
            </w:pPr>
            <w:r>
              <w:rPr>
                <w:sz w:val="17"/>
                <w:szCs w:val="17"/>
              </w:rPr>
              <w:t xml:space="preserve">Destination junk or quarantine holds the report; message trace shows filtering verdict</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Forwarding loses the original</w:t>
            </w:r>
          </w:p>
        </w:tc>
        <w:tc>
          <w:tcPr>
            <w:tcW w:type="dxa" w:w="3703"/>
            <w:shd w:fill="FFFFFF" w:color="auto" w:val="clear"/>
            <w:tcMar>
              <w:top w:type="dxa" w:w="70"/>
              <w:left w:type="dxa" w:w="100"/>
              <w:bottom w:type="dxa" w:w="70"/>
              <w:right w:type="dxa" w:w="100"/>
            </w:tcMar>
            <w:vAlign w:val="top"/>
          </w:tcPr>
          <w:p>
            <w:pPr>
              <w:spacing w:after="0" w:before="0" w:line="252"/>
            </w:pPr>
            <w:r>
              <w:rPr>
                <w:sz w:val="17"/>
                <w:szCs w:val="17"/>
              </w:rPr>
              <w:t xml:space="preserve">Responder receives the report but cannot find the original in other mailboxes</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Report contains a screenshot or inline copy with no headers; search by subject only</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No purge capability</w:t>
            </w:r>
          </w:p>
        </w:tc>
        <w:tc>
          <w:tcPr>
            <w:tcW w:type="dxa" w:w="3703"/>
            <w:shd w:fill="F2F4F6" w:color="auto" w:val="clear"/>
            <w:tcMar>
              <w:top w:type="dxa" w:w="70"/>
              <w:left w:type="dxa" w:w="100"/>
              <w:bottom w:type="dxa" w:w="70"/>
              <w:right w:type="dxa" w:w="100"/>
            </w:tcMar>
            <w:vAlign w:val="top"/>
          </w:tcPr>
          <w:p>
            <w:pPr>
              <w:spacing w:after="0" w:before="0" w:line="252"/>
            </w:pPr>
            <w:r>
              <w:rPr>
                <w:sz w:val="17"/>
                <w:szCs w:val="17"/>
              </w:rPr>
              <w:t xml:space="preserve">Triage happens, but only the reporter's copy is deleted</w:t>
            </w:r>
          </w:p>
        </w:tc>
        <w:tc>
          <w:tcPr>
            <w:tcW w:type="dxa" w:w="3315"/>
            <w:shd w:fill="F2F4F6" w:color="auto" w:val="clear"/>
            <w:tcMar>
              <w:top w:type="dxa" w:w="70"/>
              <w:left w:type="dxa" w:w="100"/>
              <w:bottom w:type="dxa" w:w="70"/>
              <w:right w:type="dxa" w:w="100"/>
            </w:tcMar>
            <w:vAlign w:val="top"/>
          </w:tcPr>
          <w:p>
            <w:pPr>
              <w:spacing w:after="0" w:before="0" w:line="252"/>
            </w:pPr>
            <w:r>
              <w:rPr>
                <w:sz w:val="17"/>
                <w:szCs w:val="17"/>
              </w:rPr>
              <w:t xml:space="preserve">Containment coverage near zero; no organization-wide removal in the audit log</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Purge permission held by one person</w:t>
            </w:r>
          </w:p>
        </w:tc>
        <w:tc>
          <w:tcPr>
            <w:tcW w:type="dxa" w:w="3703"/>
            <w:shd w:fill="FFFFFF" w:color="auto" w:val="clear"/>
            <w:tcMar>
              <w:top w:type="dxa" w:w="70"/>
              <w:left w:type="dxa" w:w="100"/>
              <w:bottom w:type="dxa" w:w="70"/>
              <w:right w:type="dxa" w:w="100"/>
            </w:tcMar>
            <w:vAlign w:val="top"/>
          </w:tcPr>
          <w:p>
            <w:pPr>
              <w:spacing w:after="0" w:before="0" w:line="252"/>
            </w:pPr>
            <w:r>
              <w:rPr>
                <w:sz w:val="17"/>
                <w:szCs w:val="17"/>
              </w:rPr>
              <w:t xml:space="preserve">Containment waits for one administrator</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Role assignment shows one holder; delay matches that person's absence</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Weekend or evening gap</w:t>
            </w:r>
          </w:p>
        </w:tc>
        <w:tc>
          <w:tcPr>
            <w:tcW w:type="dxa" w:w="3703"/>
            <w:shd w:fill="F2F4F6" w:color="auto" w:val="clear"/>
            <w:tcMar>
              <w:top w:type="dxa" w:w="70"/>
              <w:left w:type="dxa" w:w="100"/>
              <w:bottom w:type="dxa" w:w="70"/>
              <w:right w:type="dxa" w:w="100"/>
            </w:tcMar>
            <w:vAlign w:val="top"/>
          </w:tcPr>
          <w:p>
            <w:pPr>
              <w:spacing w:after="0" w:before="0" w:line="252"/>
            </w:pPr>
            <w:r>
              <w:rPr>
                <w:sz w:val="17"/>
                <w:szCs w:val="17"/>
              </w:rPr>
              <w:t xml:space="preserve">Out-of-hours planted report untouched until the next working day</w:t>
            </w:r>
          </w:p>
        </w:tc>
        <w:tc>
          <w:tcPr>
            <w:tcW w:type="dxa" w:w="3315"/>
            <w:shd w:fill="F2F4F6" w:color="auto" w:val="clear"/>
            <w:tcMar>
              <w:top w:type="dxa" w:w="70"/>
              <w:left w:type="dxa" w:w="100"/>
              <w:bottom w:type="dxa" w:w="70"/>
              <w:right w:type="dxa" w:w="100"/>
            </w:tcMar>
            <w:vAlign w:val="top"/>
          </w:tcPr>
          <w:p>
            <w:pPr>
              <w:spacing w:after="0" w:before="0" w:line="252"/>
            </w:pPr>
            <w:r>
              <w:rPr>
                <w:sz w:val="17"/>
                <w:szCs w:val="17"/>
              </w:rPr>
              <w:t xml:space="preserve">First touch time against the rota; on-call arrangement absent or not triggered</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Credential reset without session revocation</w:t>
            </w:r>
          </w:p>
        </w:tc>
        <w:tc>
          <w:tcPr>
            <w:tcW w:type="dxa" w:w="3703"/>
            <w:shd w:fill="FFFFFF" w:color="auto" w:val="clear"/>
            <w:tcMar>
              <w:top w:type="dxa" w:w="70"/>
              <w:left w:type="dxa" w:w="100"/>
              <w:bottom w:type="dxa" w:w="70"/>
              <w:right w:type="dxa" w:w="100"/>
            </w:tcMar>
            <w:vAlign w:val="top"/>
          </w:tcPr>
          <w:p>
            <w:pPr>
              <w:spacing w:after="0" w:before="0" w:line="252"/>
            </w:pPr>
            <w:r>
              <w:rPr>
                <w:sz w:val="17"/>
                <w:szCs w:val="17"/>
              </w:rPr>
              <w:t xml:space="preserve">Exposed account password reset, sessions remain active</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Identity provider audit log shows reset with no revocation; sign-in log shows continued token use</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Simulation reports suppressed</w:t>
            </w:r>
          </w:p>
        </w:tc>
        <w:tc>
          <w:tcPr>
            <w:tcW w:type="dxa" w:w="3703"/>
            <w:shd w:fill="F2F4F6" w:color="auto" w:val="clear"/>
            <w:tcMar>
              <w:top w:type="dxa" w:w="70"/>
              <w:left w:type="dxa" w:w="100"/>
              <w:bottom w:type="dxa" w:w="70"/>
              <w:right w:type="dxa" w:w="100"/>
            </w:tcMar>
            <w:vAlign w:val="top"/>
          </w:tcPr>
          <w:p>
            <w:pPr>
              <w:spacing w:after="0" w:before="0" w:line="252"/>
            </w:pPr>
            <w:r>
              <w:rPr>
                <w:sz w:val="17"/>
                <w:szCs w:val="17"/>
              </w:rPr>
              <w:t xml:space="preserve">Staff reports counted by the simulation platform but never seen by responders</w:t>
            </w:r>
          </w:p>
        </w:tc>
        <w:tc>
          <w:tcPr>
            <w:tcW w:type="dxa" w:w="3315"/>
            <w:shd w:fill="F2F4F6" w:color="auto" w:val="clear"/>
            <w:tcMar>
              <w:top w:type="dxa" w:w="70"/>
              <w:left w:type="dxa" w:w="100"/>
              <w:bottom w:type="dxa" w:w="70"/>
              <w:right w:type="dxa" w:w="100"/>
            </w:tcMar>
            <w:vAlign w:val="top"/>
          </w:tcPr>
          <w:p>
            <w:pPr>
              <w:spacing w:after="0" w:before="0" w:line="252"/>
            </w:pPr>
            <w:r>
              <w:rPr>
                <w:sz w:val="17"/>
                <w:szCs w:val="17"/>
              </w:rPr>
              <w:t xml:space="preserve">Reporting destination shows no simulation reports; platform settings route them elsewhere</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No feedback to reporter</w:t>
            </w:r>
          </w:p>
        </w:tc>
        <w:tc>
          <w:tcPr>
            <w:tcW w:type="dxa" w:w="3703"/>
            <w:shd w:fill="FFFFFF" w:color="auto" w:val="clear"/>
            <w:tcMar>
              <w:top w:type="dxa" w:w="70"/>
              <w:left w:type="dxa" w:w="100"/>
              <w:bottom w:type="dxa" w:w="70"/>
              <w:right w:type="dxa" w:w="100"/>
            </w:tcMar>
            <w:vAlign w:val="top"/>
          </w:tcPr>
          <w:p>
            <w:pPr>
              <w:spacing w:after="0" w:before="0" w:line="252"/>
            </w:pPr>
            <w:r>
              <w:rPr>
                <w:sz w:val="17"/>
                <w:szCs w:val="17"/>
              </w:rPr>
              <w:t xml:space="preserve">Click-then-report rate and reporting rate fall cycle on cycle</w:t>
            </w:r>
          </w:p>
        </w:tc>
        <w:tc>
          <w:tcPr>
            <w:tcW w:type="dxa" w:w="3315"/>
            <w:shd w:fill="FFFFFF" w:color="auto" w:val="clear"/>
            <w:tcMar>
              <w:top w:type="dxa" w:w="70"/>
              <w:left w:type="dxa" w:w="100"/>
              <w:bottom w:type="dxa" w:w="70"/>
              <w:right w:type="dxa" w:w="100"/>
            </w:tcMar>
            <w:vAlign w:val="top"/>
          </w:tcPr>
          <w:p>
            <w:pPr>
              <w:spacing w:after="0" w:before="0" w:line="252"/>
            </w:pPr>
            <w:r>
              <w:rPr>
                <w:sz w:val="17"/>
                <w:szCs w:val="17"/>
              </w:rPr>
              <w:t xml:space="preserve">Reporter account receives nothing in the planted test</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33" w:id="1"/>
      <w:r>
        <w:t xml:space="preserve">8.2  Interpreting the results</w:t>
      </w:r>
      <w:bookmarkEnd w:id="1"/>
    </w:p>
    <w:p>
      <w:pPr>
        <w:pStyle w:val="ListParagraph"/>
        <w:numPr>
          <w:ilvl w:val="0"/>
          <w:numId w:val="2"/>
        </w:numPr>
        <w:spacing w:after="60" w:line="262"/>
      </w:pPr>
      <w:r>
        <w:t xml:space="preserve">A reporting rate is compared only with previous results at the same difficulty rating.</w:t>
      </w:r>
    </w:p>
    <w:p>
      <w:pPr>
        <w:pStyle w:val="ListParagraph"/>
        <w:numPr>
          <w:ilvl w:val="0"/>
          <w:numId w:val="2"/>
        </w:numPr>
        <w:spacing w:after="60" w:line="262"/>
      </w:pPr>
      <w:r>
        <w:t xml:space="preserve">A short time to first report with a long time to containment means staff are doing their part and the route is failing them. That is a route finding, not a training finding.</w:t>
      </w:r>
    </w:p>
    <w:p>
      <w:pPr>
        <w:pStyle w:val="ListParagraph"/>
        <w:numPr>
          <w:ilvl w:val="0"/>
          <w:numId w:val="2"/>
        </w:numPr>
        <w:spacing w:after="60" w:line="262"/>
      </w:pPr>
      <w:r>
        <w:t xml:space="preserve">A high unsanctioned report rate means staff want to report and cannot find or use the channel. That is a channel finding.</w:t>
      </w:r>
    </w:p>
    <w:p>
      <w:pPr>
        <w:pStyle w:val="ListParagraph"/>
        <w:numPr>
          <w:ilvl w:val="0"/>
          <w:numId w:val="2"/>
        </w:numPr>
        <w:spacing w:after="60" w:line="262"/>
      </w:pPr>
      <w:r>
        <w:t xml:space="preserve">A low click rate with a low reporting rate is not a good result. It means the email was ignored, which leaves the next, better email unreported.</w:t>
      </w:r>
    </w:p>
    <w:p>
      <w:pPr>
        <w:pStyle w:val="ListParagraph"/>
        <w:numPr>
          <w:ilvl w:val="0"/>
          <w:numId w:val="2"/>
        </w:numPr>
        <w:spacing w:after="60" w:line="262"/>
      </w:pPr>
      <w:r>
        <w:t xml:space="preserve">Exposure before containment is the single figure that most directly describes risk: the share of the organization that interacted with the email before the route protected it.</w:t>
      </w:r>
    </w:p>
    <w:p>
      <w:pPr>
        <w:spacing w:after="60" w:line="120"/>
      </w:pPr>
      <w:r>
        <w:rPr>
          <w:sz w:val="4"/>
          <w:szCs w:val="4"/>
        </w:rPr>
        <w:t xml:space="preserve"/>
      </w:r>
    </w:p>
    <w:p>
      <w:pPr>
        <w:pStyle w:val="Heading2"/>
        <w:keepNext/>
        <w:keepLines/>
        <w:spacing w:after="90" w:before="220"/>
      </w:pPr>
      <w:bookmarkStart w:name="_RG0034" w:id="1"/>
      <w:r>
        <w:t xml:space="preserve">8.3  Reporting results</w:t>
      </w:r>
      <w:bookmarkEnd w:id="1"/>
    </w:p>
    <w:p>
      <w:pPr>
        <w:spacing w:after="130" w:line="262"/>
      </w:pPr>
      <w:r>
        <w:t xml:space="preserve">The test lead issues a results report to the senior sponsor within 15 working days of the close of the observation period. It contains, in this order:</w:t>
      </w:r>
    </w:p>
    <w:p>
      <w:pPr>
        <w:pStyle w:val="ListParagraph"/>
        <w:numPr>
          <w:ilvl w:val="0"/>
          <w:numId w:val="7"/>
        </w:numPr>
        <w:spacing w:after="60" w:line="262"/>
      </w:pPr>
      <w:r>
        <w:t xml:space="preserve">The route test result for each channel, client type and time band, as pass or fail per hop, with measured times.</w:t>
      </w:r>
    </w:p>
    <w:p>
      <w:pPr>
        <w:pStyle w:val="ListParagraph"/>
        <w:numPr>
          <w:ilvl w:val="0"/>
          <w:numId w:val="7"/>
        </w:numPr>
        <w:spacing w:after="60" w:line="262"/>
      </w:pPr>
      <w:r>
        <w:t xml:space="preserve">The simulation results for each scenario: difficulty rating, D, reporting rate, time to first report, time to triage, time to containment action, containment coverage, exposure before containment, then the secondary measures.</w:t>
      </w:r>
    </w:p>
    <w:p>
      <w:pPr>
        <w:pStyle w:val="ListParagraph"/>
        <w:numPr>
          <w:ilvl w:val="0"/>
          <w:numId w:val="7"/>
        </w:numPr>
        <w:spacing w:after="60" w:line="262"/>
      </w:pPr>
      <w:r>
        <w:t xml:space="preserve">Findings, each stating the failed hop, the evidence, the consequence in a real incident and a proposed corrective action with an owner.</w:t>
      </w:r>
    </w:p>
    <w:p>
      <w:pPr>
        <w:pStyle w:val="ListParagraph"/>
        <w:numPr>
          <w:ilvl w:val="0"/>
          <w:numId w:val="7"/>
        </w:numPr>
        <w:spacing w:after="60" w:line="262"/>
      </w:pPr>
      <w:r>
        <w:t xml:space="preserve">Comparison with the previous cycle at the same difficulty, where one exists.</w:t>
      </w:r>
    </w:p>
    <w:p>
      <w:pPr>
        <w:pStyle w:val="ListParagraph"/>
        <w:numPr>
          <w:ilvl w:val="0"/>
          <w:numId w:val="7"/>
        </w:numPr>
        <w:spacing w:after="60" w:line="262"/>
      </w:pPr>
      <w:r>
        <w:t xml:space="preserve">Limitations: anything that was not tested, any hop whose timing could not be taken from a system record, and any exclusion that materially reduced the population.</w:t>
      </w:r>
    </w:p>
    <w:p>
      <w:pPr>
        <w:spacing w:after="130" w:line="262"/>
      </w:pPr>
      <w:r>
        <w:t xml:space="preserve">Results for any group are reported only where the group contains 10 or more people. No individual is named.</w:t>
      </w:r>
    </w:p>
    <w:p>
      <w:pPr>
        <w:spacing w:after="60" w:line="120"/>
      </w:pPr>
      <w:r>
        <w:rPr>
          <w:sz w:val="4"/>
          <w:szCs w:val="4"/>
        </w:rPr>
        <w:t xml:space="preserve"/>
      </w:r>
    </w:p>
    <w:p>
      <w:pPr>
        <w:pStyle w:val="Heading1"/>
        <w:keepNext/>
        <w:keepLines/>
        <w:pBdr>
          <w:bottom w:val="single" w:color="D4DAE0" w:sz="4" w:space="4"/>
        </w:pBdr>
        <w:spacing w:after="140" w:before="300"/>
      </w:pPr>
      <w:bookmarkStart w:name="_RG0035" w:id="1"/>
      <w:r>
        <w:t xml:space="preserve">9.  Follow-up and retest</w:t>
      </w:r>
      <w:bookmarkEnd w:id="1"/>
    </w:p>
    <w:p>
      <w:pPr>
        <w:spacing w:after="130" w:line="262"/>
      </w:pPr>
      <w:r>
        <w:t xml:space="preserve">Every finding is entered in the findings and retest log, Appendix F, with an owner and a target date. A finding is closed only when a retest of the specific hop has passed, not when the owner reports the correction made.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5165"/>
        <w:gridCol w:w="1656"/>
        <w:gridCol w:w="2438"/>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16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6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43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165"/>
            <w:shd w:fill="FFFFFF" w:color="auto" w:val="clear"/>
            <w:tcMar>
              <w:top w:type="dxa" w:w="70"/>
              <w:left w:type="dxa" w:w="100"/>
              <w:bottom w:type="dxa" w:w="70"/>
              <w:right w:type="dxa" w:w="100"/>
            </w:tcMar>
            <w:vAlign w:val="top"/>
          </w:tcPr>
          <w:p>
            <w:pPr>
              <w:spacing w:after="0" w:before="0" w:line="252"/>
            </w:pPr>
            <w:r>
              <w:rPr>
                <w:sz w:val="17"/>
                <w:szCs w:val="17"/>
              </w:rPr>
              <w:t xml:space="preserve">Enter each finding in the log with the failed hop, evidence reference, severity and proposed corrective action</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438"/>
            <w:shd w:fill="FFFFFF" w:color="auto" w:val="clear"/>
            <w:tcMar>
              <w:top w:type="dxa" w:w="70"/>
              <w:left w:type="dxa" w:w="100"/>
              <w:bottom w:type="dxa" w:w="70"/>
              <w:right w:type="dxa" w:w="100"/>
            </w:tcMar>
            <w:vAlign w:val="top"/>
          </w:tcPr>
          <w:p>
            <w:pPr>
              <w:spacing w:after="0" w:before="0" w:line="252"/>
            </w:pPr>
            <w:r>
              <w:rPr>
                <w:sz w:val="17"/>
                <w:szCs w:val="17"/>
              </w:rPr>
              <w:t xml:space="preserve">Log entry</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165"/>
            <w:shd w:fill="F2F4F6" w:color="auto" w:val="clear"/>
            <w:tcMar>
              <w:top w:type="dxa" w:w="70"/>
              <w:left w:type="dxa" w:w="100"/>
              <w:bottom w:type="dxa" w:w="70"/>
              <w:right w:type="dxa" w:w="100"/>
            </w:tcMar>
            <w:vAlign w:val="top"/>
          </w:tcPr>
          <w:p>
            <w:pPr>
              <w:spacing w:after="0" w:before="0" w:line="252"/>
            </w:pPr>
            <w:r>
              <w:rPr>
                <w:sz w:val="17"/>
                <w:szCs w:val="17"/>
              </w:rPr>
              <w:t xml:space="preserve">Agree an owner and target date for each corrective action. Default target: 30 days for findings at hops 1 to 6, 60 days for hop 7</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Senior sponsor</w:t>
            </w:r>
          </w:p>
        </w:tc>
        <w:tc>
          <w:tcPr>
            <w:tcW w:type="dxa" w:w="2438"/>
            <w:shd w:fill="F2F4F6" w:color="auto" w:val="clear"/>
            <w:tcMar>
              <w:top w:type="dxa" w:w="70"/>
              <w:left w:type="dxa" w:w="100"/>
              <w:bottom w:type="dxa" w:w="70"/>
              <w:right w:type="dxa" w:w="100"/>
            </w:tcMar>
            <w:vAlign w:val="top"/>
          </w:tcPr>
          <w:p>
            <w:pPr>
              <w:spacing w:after="0" w:before="0" w:line="252"/>
            </w:pPr>
            <w:r>
              <w:rPr>
                <w:sz w:val="17"/>
                <w:szCs w:val="17"/>
              </w:rPr>
              <w:t xml:space="preserve">Owner and date recorded in log</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165"/>
            <w:shd w:fill="FFFFFF" w:color="auto" w:val="clear"/>
            <w:tcMar>
              <w:top w:type="dxa" w:w="70"/>
              <w:left w:type="dxa" w:w="100"/>
              <w:bottom w:type="dxa" w:w="70"/>
              <w:right w:type="dxa" w:w="100"/>
            </w:tcMar>
            <w:vAlign w:val="top"/>
          </w:tcPr>
          <w:p>
            <w:pPr>
              <w:spacing w:after="0" w:before="0" w:line="252"/>
            </w:pPr>
            <w:r>
              <w:rPr>
                <w:sz w:val="17"/>
                <w:szCs w:val="17"/>
              </w:rPr>
              <w:t xml:space="preserve">Owner reports the corrective action complete, with a description of what changed</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Corrective action owner</w:t>
            </w:r>
          </w:p>
        </w:tc>
        <w:tc>
          <w:tcPr>
            <w:tcW w:type="dxa" w:w="2438"/>
            <w:shd w:fill="FFFFFF" w:color="auto" w:val="clear"/>
            <w:tcMar>
              <w:top w:type="dxa" w:w="70"/>
              <w:left w:type="dxa" w:w="100"/>
              <w:bottom w:type="dxa" w:w="70"/>
              <w:right w:type="dxa" w:w="100"/>
            </w:tcMar>
            <w:vAlign w:val="top"/>
          </w:tcPr>
          <w:p>
            <w:pPr>
              <w:spacing w:after="0" w:before="0" w:line="252"/>
            </w:pPr>
            <w:r>
              <w:rPr>
                <w:sz w:val="17"/>
                <w:szCs w:val="17"/>
              </w:rPr>
              <w:t xml:space="preserve">Completion note in log</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165"/>
            <w:shd w:fill="F2F4F6" w:color="auto" w:val="clear"/>
            <w:tcMar>
              <w:top w:type="dxa" w:w="70"/>
              <w:left w:type="dxa" w:w="100"/>
              <w:bottom w:type="dxa" w:w="70"/>
              <w:right w:type="dxa" w:w="100"/>
            </w:tcMar>
            <w:vAlign w:val="top"/>
          </w:tcPr>
          <w:p>
            <w:pPr>
              <w:spacing w:after="0" w:before="0" w:line="252"/>
            </w:pPr>
            <w:r>
              <w:rPr>
                <w:sz w:val="17"/>
                <w:szCs w:val="17"/>
              </w:rPr>
              <w:t xml:space="preserve">Retest the specific hop with a planted report within 30 days of the completion note, under the existing authorization if still valid, or a new one</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438"/>
            <w:shd w:fill="F2F4F6" w:color="auto" w:val="clear"/>
            <w:tcMar>
              <w:top w:type="dxa" w:w="70"/>
              <w:left w:type="dxa" w:w="100"/>
              <w:bottom w:type="dxa" w:w="70"/>
              <w:right w:type="dxa" w:w="100"/>
            </w:tcMar>
            <w:vAlign w:val="top"/>
          </w:tcPr>
          <w:p>
            <w:pPr>
              <w:spacing w:after="0" w:before="0" w:line="252"/>
            </w:pPr>
            <w:r>
              <w:rPr>
                <w:sz w:val="17"/>
                <w:szCs w:val="17"/>
              </w:rPr>
              <w:t xml:space="preserve">Completed Appendix C for the retest</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165"/>
            <w:shd w:fill="FFFFFF" w:color="auto" w:val="clear"/>
            <w:tcMar>
              <w:top w:type="dxa" w:w="70"/>
              <w:left w:type="dxa" w:w="100"/>
              <w:bottom w:type="dxa" w:w="70"/>
              <w:right w:type="dxa" w:w="100"/>
            </w:tcMar>
            <w:vAlign w:val="top"/>
          </w:tcPr>
          <w:p>
            <w:pPr>
              <w:spacing w:after="0" w:before="0" w:line="252"/>
            </w:pPr>
            <w:r>
              <w:rPr>
                <w:sz w:val="17"/>
                <w:szCs w:val="17"/>
              </w:rPr>
              <w:t xml:space="preserve">Close the finding if the retest passes; if it fails, reopen with a new target date and escalate to the sponsor</w:t>
            </w:r>
          </w:p>
        </w:tc>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438"/>
            <w:shd w:fill="FFFFFF" w:color="auto" w:val="clear"/>
            <w:tcMar>
              <w:top w:type="dxa" w:w="70"/>
              <w:left w:type="dxa" w:w="100"/>
              <w:bottom w:type="dxa" w:w="70"/>
              <w:right w:type="dxa" w:w="100"/>
            </w:tcMar>
            <w:vAlign w:val="top"/>
          </w:tcPr>
          <w:p>
            <w:pPr>
              <w:spacing w:after="0" w:before="0" w:line="252"/>
            </w:pPr>
            <w:r>
              <w:rPr>
                <w:sz w:val="17"/>
                <w:szCs w:val="17"/>
              </w:rPr>
              <w:t xml:space="preserve">Retest result and closure or escalation in log</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165"/>
            <w:shd w:fill="F2F4F6" w:color="auto" w:val="clear"/>
            <w:tcMar>
              <w:top w:type="dxa" w:w="70"/>
              <w:left w:type="dxa" w:w="100"/>
              <w:bottom w:type="dxa" w:w="70"/>
              <w:right w:type="dxa" w:w="100"/>
            </w:tcMar>
            <w:vAlign w:val="top"/>
          </w:tcPr>
          <w:p>
            <w:pPr>
              <w:spacing w:after="0" w:before="0" w:line="252"/>
            </w:pPr>
            <w:r>
              <w:rPr>
                <w:sz w:val="17"/>
                <w:szCs w:val="17"/>
              </w:rPr>
              <w:t xml:space="preserve">Send all staff a short message after each cycle: what the test found in aggregate, what is being fixed, and a reminder of the reporting channel and that reporting a click is always welcome</w:t>
            </w:r>
          </w:p>
        </w:tc>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Program owner</w:t>
            </w:r>
          </w:p>
        </w:tc>
        <w:tc>
          <w:tcPr>
            <w:tcW w:type="dxa" w:w="2438"/>
            <w:shd w:fill="F2F4F6" w:color="auto" w:val="clear"/>
            <w:tcMar>
              <w:top w:type="dxa" w:w="70"/>
              <w:left w:type="dxa" w:w="100"/>
              <w:bottom w:type="dxa" w:w="70"/>
              <w:right w:type="dxa" w:w="100"/>
            </w:tcMar>
            <w:vAlign w:val="top"/>
          </w:tcPr>
          <w:p>
            <w:pPr>
              <w:spacing w:after="0" w:before="0" w:line="252"/>
            </w:pPr>
            <w:r>
              <w:rPr>
                <w:sz w:val="17"/>
                <w:szCs w:val="17"/>
              </w:rPr>
              <w:t xml:space="preserve">Copy of staff message</w:t>
            </w:r>
          </w:p>
        </w:tc>
      </w:tr>
    </w:tbl>
    <w:p>
      <w:pPr>
        <w:spacing w:after="120" w:line="120"/>
      </w:pPr>
      <w:r>
        <w:rPr>
          <w:sz w:val="4"/>
          <w:szCs w:val="4"/>
        </w:rPr>
        <w:t xml:space="preserve"/>
      </w:r>
    </w:p>
    <w:p>
      <w:pPr>
        <w:spacing w:after="130" w:line="262"/>
      </w:pPr>
      <w:r>
        <w:t xml:space="preserve">Severity is assigned as follows. Critical: a report through a sanctioned channel reaches no monitored destination, or no containment action across mailboxes is possible. High: a hop fails its observation limit, or out-of-hours reports meeting escalation criteria are not escalated. Medium: a hop exceeds its pass time but completes within its observation limit. Low: feedback to the reporter is missing or late. A Critical finding is reported to the sponsor within one working day of its discovery, not held for the results report.</w:t>
      </w:r>
    </w:p>
    <w:p>
      <w:pPr>
        <w:spacing w:after="60" w:line="120"/>
      </w:pPr>
      <w:r>
        <w:rPr>
          <w:sz w:val="4"/>
          <w:szCs w:val="4"/>
        </w:rPr>
        <w:t xml:space="preserve"/>
      </w:r>
    </w:p>
    <w:p>
      <w:pPr>
        <w:pStyle w:val="Heading1"/>
        <w:keepNext/>
        <w:keepLines/>
        <w:pBdr>
          <w:bottom w:val="single" w:color="D4DAE0" w:sz="4" w:space="4"/>
        </w:pBdr>
        <w:spacing w:after="140" w:before="300"/>
      </w:pPr>
      <w:bookmarkStart w:name="_RG0036" w:id="1"/>
      <w:r>
        <w:t xml:space="preserve">10.  Roles and responsibilities</w:t>
      </w:r>
      <w:bookmarkEnd w:id="1"/>
    </w:p>
    <w:p>
      <w:pPr>
        <w:keepNext/>
        <w:keepLines/>
        <w:pBdr>
          <w:top w:val="single" w:color="D4DAE0" w:sz="4" w:space="9"/>
        </w:pBdr>
        <w:spacing w:after="46" w:before="110"/>
      </w:pPr>
      <w:r>
        <w:rPr>
          <w:b/>
          <w:bCs/>
          <w:color w:val="2E5C7A"/>
          <w:sz w:val="21"/>
          <w:szCs w:val="21"/>
        </w:rPr>
        <w:t xml:space="preserve">Senior sponsor</w:t>
      </w:r>
    </w:p>
    <w:p>
      <w:pPr>
        <w:spacing w:after="62" w:line="262"/>
        <w:ind w:left="172"/>
      </w:pPr>
      <w:r>
        <w:t xml:space="preserve">A member of senior management with authority over the mail platform and the staff in scope. Signs the authorization, approves any change to default pass criteria and exclusions, receives the results report, assigns owners for corrective actions and receives escalations of Critical findings and failed retests.</w:t>
      </w:r>
    </w:p>
    <w:p>
      <w:pPr>
        <w:keepNext/>
        <w:keepLines/>
        <w:pBdr>
          <w:top w:val="single" w:color="D4DAE0" w:sz="4" w:space="9"/>
        </w:pBdr>
        <w:spacing w:after="46" w:before="170"/>
      </w:pPr>
      <w:r>
        <w:rPr>
          <w:b/>
          <w:bCs/>
          <w:color w:val="2E5C7A"/>
          <w:sz w:val="21"/>
          <w:szCs w:val="21"/>
        </w:rPr>
        <w:t xml:space="preserve">Program owner</w:t>
      </w:r>
    </w:p>
    <w:p>
      <w:pPr>
        <w:spacing w:after="62" w:line="262"/>
        <w:ind w:left="172"/>
      </w:pPr>
      <w:r>
        <w:t xml:space="preserve">Owns the phishing defense program, the reporting channel and staff communications. Holds individual-level results and the repeat clicker list privately, offers support, sends the post-cycle staff message and ensures the staff privacy notice covers the processing.</w:t>
      </w:r>
    </w:p>
    <w:p>
      <w:pPr>
        <w:keepNext/>
        <w:keepLines/>
        <w:pBdr>
          <w:top w:val="single" w:color="D4DAE0" w:sz="4" w:space="9"/>
        </w:pBdr>
        <w:spacing w:after="46" w:before="170"/>
      </w:pPr>
      <w:r>
        <w:rPr>
          <w:b/>
          <w:bCs/>
          <w:color w:val="2E5C7A"/>
          <w:sz w:val="21"/>
          <w:szCs w:val="21"/>
        </w:rPr>
        <w:t xml:space="preserve">Test lead</w:t>
      </w:r>
    </w:p>
    <w:p>
      <w:pPr>
        <w:spacing w:after="62" w:line="262"/>
        <w:ind w:left="172"/>
      </w:pPr>
      <w:r>
        <w:t xml:space="preserve">Plans and runs each test, maps the route, prepares scenarios and ratings, conducts the planted reports, records times from system records, analyzes results, writes the results report and maintains the findings and retest log. Does not prompt responders during a test.</w:t>
      </w:r>
    </w:p>
    <w:p>
      <w:pPr>
        <w:keepNext/>
        <w:keepLines/>
        <w:pBdr>
          <w:top w:val="single" w:color="D4DAE0" w:sz="4" w:space="9"/>
        </w:pBdr>
        <w:spacing w:after="46" w:before="170"/>
      </w:pPr>
      <w:r>
        <w:rPr>
          <w:b/>
          <w:bCs/>
          <w:color w:val="2E5C7A"/>
          <w:sz w:val="21"/>
          <w:szCs w:val="21"/>
        </w:rPr>
        <w:t xml:space="preserve">Deconfliction contact</w:t>
      </w:r>
    </w:p>
    <w:p>
      <w:pPr>
        <w:spacing w:after="62" w:line="262"/>
        <w:ind w:left="172"/>
      </w:pPr>
      <w:r>
        <w:t xml:space="preserve">A member of the white cell reachable throughout the window. Confirms a test only when a responder is about to act outside the organization, and records every call.</w:t>
      </w:r>
    </w:p>
    <w:p>
      <w:pPr>
        <w:keepNext/>
        <w:keepLines/>
        <w:pBdr>
          <w:top w:val="single" w:color="D4DAE0" w:sz="4" w:space="9"/>
        </w:pBdr>
        <w:spacing w:after="46" w:before="170"/>
      </w:pPr>
      <w:r>
        <w:rPr>
          <w:b/>
          <w:bCs/>
          <w:color w:val="2E5C7A"/>
          <w:sz w:val="21"/>
          <w:szCs w:val="21"/>
        </w:rPr>
        <w:t xml:space="preserve">Mail platform administrator</w:t>
      </w:r>
    </w:p>
    <w:p>
      <w:pPr>
        <w:spacing w:after="62" w:line="262"/>
        <w:ind w:left="172"/>
      </w:pPr>
      <w:r>
        <w:t xml:space="preserve">Configures the sanctioned simulation delivery mechanism, verifies delivery before the window, maintains the report button deployment and the reporting destination configuration, and provides message trace and audit records. May be a responder, in which case is not part of the white cell and the delivery configuration is done by another administrator.</w:t>
      </w:r>
    </w:p>
    <w:p>
      <w:pPr>
        <w:keepNext/>
        <w:keepLines/>
        <w:pBdr>
          <w:top w:val="single" w:color="D4DAE0" w:sz="4" w:space="9"/>
        </w:pBdr>
        <w:spacing w:after="46" w:before="170"/>
      </w:pPr>
      <w:r>
        <w:rPr>
          <w:b/>
          <w:bCs/>
          <w:color w:val="2E5C7A"/>
          <w:sz w:val="21"/>
          <w:szCs w:val="21"/>
        </w:rPr>
        <w:t xml:space="preserve">Responders</w:t>
      </w:r>
    </w:p>
    <w:p>
      <w:pPr>
        <w:spacing w:after="62" w:line="262"/>
        <w:ind w:left="172"/>
      </w:pPr>
      <w:r>
        <w:t xml:space="preserve">The people or contracted provider who monitor the reporting destination, triage reports and carry out containment actions. Operate as normal during a test. Hold the permissions listed in section 3.4, with at least two named holders for each.</w:t>
      </w:r>
    </w:p>
    <w:p>
      <w:pPr>
        <w:keepNext/>
        <w:keepLines/>
        <w:pBdr>
          <w:top w:val="single" w:color="D4DAE0" w:sz="4" w:space="9"/>
        </w:pBdr>
        <w:spacing w:after="46" w:before="170"/>
      </w:pPr>
      <w:r>
        <w:rPr>
          <w:b/>
          <w:bCs/>
          <w:color w:val="2E5C7A"/>
          <w:sz w:val="21"/>
          <w:szCs w:val="21"/>
        </w:rPr>
        <w:t xml:space="preserve">Legal counsel</w:t>
      </w:r>
    </w:p>
    <w:p>
      <w:pPr>
        <w:spacing w:after="62" w:line="262"/>
        <w:ind w:left="172"/>
      </w:pPr>
      <w:r>
        <w:t xml:space="preserve">Reviews each test plan for employment, privacy and monitoring obligations and confirms that the authorization covers any contracted provider being tested.</w:t>
      </w:r>
    </w:p>
    <w:p>
      <w:pPr>
        <w:keepNext/>
        <w:keepLines/>
        <w:pBdr>
          <w:top w:val="single" w:color="D4DAE0" w:sz="4" w:space="9"/>
        </w:pBdr>
        <w:spacing w:after="46" w:before="170"/>
      </w:pPr>
      <w:r>
        <w:rPr>
          <w:b/>
          <w:bCs/>
          <w:color w:val="2E5C7A"/>
          <w:sz w:val="21"/>
          <w:szCs w:val="21"/>
        </w:rPr>
        <w:t xml:space="preserve">Head of human resources</w:t>
      </w:r>
    </w:p>
    <w:p>
      <w:pPr>
        <w:spacing w:after="62" w:line="262"/>
        <w:ind w:left="172"/>
      </w:pPr>
      <w:r>
        <w:t xml:space="preserve">Reviews each test plan, identifies people to be excluded without stating reasons, and confirms that no result is used for discipline or performance assessment.</w:t>
      </w:r>
    </w:p>
    <w:p>
      <w:pPr>
        <w:spacing w:after="60" w:line="120"/>
      </w:pPr>
      <w:r>
        <w:rPr>
          <w:sz w:val="4"/>
          <w:szCs w:val="4"/>
        </w:rPr>
        <w:t xml:space="preserve"/>
      </w:r>
    </w:p>
    <w:p>
      <w:pPr>
        <w:pStyle w:val="Heading1"/>
        <w:keepNext/>
        <w:keepLines/>
        <w:pBdr>
          <w:bottom w:val="single" w:color="D4DAE0" w:sz="4" w:space="4"/>
        </w:pBdr>
        <w:spacing w:after="140" w:before="300"/>
      </w:pPr>
      <w:bookmarkStart w:name="_RG0037" w:id="1"/>
      <w:r>
        <w:t xml:space="preserve">11.  Evidence of operation</w:t>
      </w:r>
      <w:bookmarkEnd w:id="1"/>
    </w:p>
    <w:p>
      <w:pPr>
        <w:spacing w:after="130" w:line="262"/>
      </w:pPr>
      <w:r>
        <w:t xml:space="preserve">The following records demonstrate that this procedure operates. An assessor examining the procedure requests them for the period under review and checks them against the population stated.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339"/>
        <w:gridCol w:w="2728"/>
        <w:gridCol w:w="3118"/>
        <w:gridCol w:w="1561"/>
      </w:tblGrid>
      <w:tr>
        <w:trPr>
          <w:cantSplit/>
          <w:tblHeader/>
        </w:trPr>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Requirement</w:t>
            </w:r>
          </w:p>
        </w:tc>
        <w:tc>
          <w:tcPr>
            <w:tcW w:type="dxa" w:w="272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Artifact</w:t>
            </w:r>
          </w:p>
        </w:tc>
        <w:tc>
          <w:tcPr>
            <w:tcW w:type="dxa" w:w="311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Population it must cover</w:t>
            </w:r>
          </w:p>
        </w:tc>
        <w:tc>
          <w:tcPr>
            <w:tcW w:type="dxa" w:w="15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Produced</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Every test is authorized in advance</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Signed test authorization forms, Appendix A, with legal and HR review notes</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Every planted report and simulation in the period, matched against the simulation platform's campaign list and the test lead's records</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Before each window</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The route is mapped and verified</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Route map worksheet, Appendix B, dated</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Every sanctioned channel and every client type in the client inventory</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At least annually and after any route change</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Report button is available in every client</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Deployment report from the mail platform or device management, compared with the client inventory</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All licensed staff mailboxes and all permitted client types</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Each route test cycle</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Reporting destination is excluded from filtering</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Mail platform configuration export showing the exclusion</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Every reporting destination</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Each route test cycle</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Route works in working hours</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Planted report test records, Appendix C, with times from system records</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Every sanctioned channel and client type over the test cycle</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Not less than quarterly</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Route works outside working hours</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Out-of-hours planted report test records, Appendix C</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Each out-of-hours band at least once a year</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Not less than twice a year</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Containment actions can be carried out</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Audit log entries for search, removal, block, credential reset and session revocation from planted tests</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Each action in section 3.4, at least once in the last 12 months</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Each route test</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At least two people hold containment permissions</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Role assignment export from the mail platform and identity provider</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Every permission listed in section 3.4</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Each route test cycle</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Scenarios are rated before sending</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Scenario design sheets, Appendix D, with two independent ratings</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Every scenario sent in the period</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Each simulation</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No passwords are captured</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Record of the dummy submission check, Appendix D</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Every landing page with a form</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Before each window</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Results are measured as defined</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Results records, Appendix E, and the results report</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Every scenario and every planted report in the period</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Within 15 working days of each close</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Findings are corrected and retested</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Findings and retest log, Appendix F</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Every finding raised in the period, with closure evidence for each closed finding</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Continuously; reviewed at each cycle</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Reporters receive feedback</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Sample of closed reports from the reporting destination showing acknowledgment and outcome messages</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Not fewer than 25 reports, or all reports if fewer, selected at random from the period</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Each cycle</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Individual results are not misused</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Access list for individual-level results; deletion record after 12 months</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All individual-level result stores</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Annually</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38" w:id="1"/>
      <w:r>
        <w:t xml:space="preserve">12.  What this document cannot do</w:t>
      </w:r>
      <w:bookmarkEnd w:id="1"/>
    </w:p>
    <w:p>
      <w:pPr>
        <w:spacing w:after="130" w:line="262"/>
      </w:pPr>
      <w:r>
        <w:t xml:space="preserve">This procedure establishes whether the reporting route operated on the days it was tested, for the channels and clients tested, at the difficulty of the scenarios used. It cannot establish that the route will operate on any other day, and a pass is evidence for the period, not a guarantee.</w:t>
      </w:r>
    </w:p>
    <w:p>
      <w:pPr>
        <w:pStyle w:val="ListParagraph"/>
        <w:numPr>
          <w:ilvl w:val="0"/>
          <w:numId w:val="2"/>
        </w:numPr>
        <w:spacing w:after="60" w:line="262"/>
      </w:pPr>
      <w:r>
        <w:t xml:space="preserve">It does not test the mail filtering that decides which phishing reaches staff in the first place, and it deliberately bypasses that filtering for simulations.</w:t>
      </w:r>
    </w:p>
    <w:p>
      <w:pPr>
        <w:pStyle w:val="ListParagraph"/>
        <w:numPr>
          <w:ilvl w:val="0"/>
          <w:numId w:val="2"/>
        </w:numPr>
        <w:spacing w:after="60" w:line="262"/>
      </w:pPr>
      <w:r>
        <w:t xml:space="preserve">It does not reproduce a determined attacker. A real campaign may use a compromised supplier's genuine mailbox, a voice call, a text message or a collaboration platform rather than email, none of which this procedure covers.</w:t>
      </w:r>
    </w:p>
    <w:p>
      <w:pPr>
        <w:pStyle w:val="ListParagraph"/>
        <w:numPr>
          <w:ilvl w:val="0"/>
          <w:numId w:val="2"/>
        </w:numPr>
        <w:spacing w:after="60" w:line="262"/>
      </w:pPr>
      <w:r>
        <w:t xml:space="preserve">It cannot make staff report. It measures whether they do and whether the route serves them when they do.</w:t>
      </w:r>
    </w:p>
    <w:p>
      <w:pPr>
        <w:pStyle w:val="ListParagraph"/>
        <w:numPr>
          <w:ilvl w:val="0"/>
          <w:numId w:val="2"/>
        </w:numPr>
        <w:spacing w:after="60" w:line="262"/>
      </w:pPr>
      <w:r>
        <w:t xml:space="preserve">It cannot prove that credentials stolen in a real incident were not used before containment. That depends on sign-in logging, its retention and someone reviewing it.</w:t>
      </w:r>
    </w:p>
    <w:p>
      <w:pPr>
        <w:pStyle w:val="ListParagraph"/>
        <w:numPr>
          <w:ilvl w:val="0"/>
          <w:numId w:val="2"/>
        </w:numPr>
        <w:spacing w:after="60" w:line="262"/>
      </w:pPr>
      <w:r>
        <w:t xml:space="preserve">Its difficulty ratings are judgments made with a published method by two people. Two organizations rating the same email may reach different results, so reporting rates are comparable within one organization over time, not between organizations.</w:t>
      </w:r>
    </w:p>
    <w:p>
      <w:pPr>
        <w:pStyle w:val="ListParagraph"/>
        <w:numPr>
          <w:ilvl w:val="0"/>
          <w:numId w:val="2"/>
        </w:numPr>
        <w:spacing w:after="60" w:line="262"/>
      </w:pPr>
      <w:r>
        <w:t xml:space="preserve">It cannot make a results report safe to share with line managers. The prohibition on naming individuals depends on the people holding the data honoring it.</w:t>
      </w:r>
    </w:p>
    <w:p>
      <w:pPr>
        <w:pStyle w:val="ListParagraph"/>
        <w:numPr>
          <w:ilvl w:val="0"/>
          <w:numId w:val="2"/>
        </w:numPr>
        <w:spacing w:after="60" w:line="262"/>
      </w:pPr>
      <w:r>
        <w:t xml:space="preserve">It does not satisfy any specific legal, regulatory or contractual requirement on its own. Where a framework or contract requires phishing testing, the organization confirms separately what that requirement asks for.</w:t>
      </w:r>
    </w:p>
    <w:p>
      <w:pPr>
        <w:pStyle w:val="Heading1"/>
        <w:keepNext/>
        <w:keepLines/>
        <w:pageBreakBefore/>
        <w:pBdr>
          <w:bottom w:val="single" w:color="D4DAE0" w:sz="4" w:space="4"/>
        </w:pBdr>
        <w:spacing w:after="140" w:before="300"/>
      </w:pPr>
      <w:bookmarkStart w:name="_RG0039" w:id="1"/>
      <w:r>
        <w:t xml:space="preserve">Appendix A.  Test authorization form</w:t>
      </w:r>
      <w:bookmarkEnd w:id="1"/>
    </w:p>
    <w:p>
      <w:pPr>
        <w:spacing w:after="130" w:line="262"/>
      </w:pPr>
      <w:r>
        <w:t xml:space="preserve">Complete one form per window. File it where the deconfliction contact can retrieve it within 15 minutes.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385"/>
        <w:gridCol w:w="5361"/>
      </w:tblGrid>
      <w:tr>
        <w:trPr>
          <w:cantSplit/>
          <w:tblHeader/>
        </w:trPr>
        <w:tc>
          <w:tcPr>
            <w:tcW w:type="dxa" w:w="438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53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Test identifier</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Test type (planted report, staff simulation, or both)</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Window start date and time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Window end date and time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Out-of-hours band(s) to be tested</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Channels and client types in scope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Staff population in scope (groups, approximate count)</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Exclusions beyond the defaults in section 4.2</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Scenarios and difficulty ratings (reference Appendix D sheets)</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Test accounts: sender, reporter, exposed</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Test domain(s) registered for the purpose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Contracted providers tested, and contract clause permitting it</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Any change to default pass criteria, with reason</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Individual-level data collected and deletion date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Location where this form is filed</w:t>
            </w:r>
          </w:p>
        </w:tc>
        <w:tc>
          <w:tcPr>
            <w:tcW w:type="dxa" w:w="536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728"/>
        <w:gridCol w:w="2339"/>
        <w:gridCol w:w="2144"/>
        <w:gridCol w:w="2535"/>
      </w:tblGrid>
      <w:tr>
        <w:trPr>
          <w:cantSplit/>
          <w:tblHeader/>
        </w:trPr>
        <w:tc>
          <w:tcPr>
            <w:tcW w:type="dxa" w:w="272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Role</w:t>
            </w:r>
          </w:p>
        </w:tc>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Name</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Telephone (window)</w:t>
            </w:r>
          </w:p>
        </w:tc>
        <w:tc>
          <w:tcPr>
            <w:tcW w:type="dxa" w:w="253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Signature and date</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Senior sponsor</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2144"/>
            <w:shd w:fill="FFFFFF" w:color="auto" w:val="clear"/>
            <w:tcMar>
              <w:top w:type="dxa" w:w="70"/>
              <w:left w:type="dxa" w:w="100"/>
              <w:bottom w:type="dxa" w:w="70"/>
              <w:right w:type="dxa" w:w="100"/>
            </w:tcMar>
            <w:vAlign w:val="top"/>
          </w:tcPr>
          <w:p>
            <w:pPr>
              <w:spacing w:after="0" w:before="0" w:line="252"/>
            </w:pPr>
          </w:p>
        </w:tc>
        <w:tc>
          <w:tcPr>
            <w:tcW w:type="dxa" w:w="2535"/>
            <w:shd w:fill="FFFFFF" w:color="auto" w:val="clear"/>
            <w:tcMar>
              <w:top w:type="dxa" w:w="70"/>
              <w:left w:type="dxa" w:w="100"/>
              <w:bottom w:type="dxa" w:w="70"/>
              <w:right w:type="dxa" w:w="100"/>
            </w:tcMar>
            <w:vAlign w:val="top"/>
          </w:tcPr>
          <w:p>
            <w:pPr>
              <w:spacing w:after="0" w:before="0" w:line="252"/>
            </w:pP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Test lead</w:t>
            </w:r>
          </w:p>
        </w:tc>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2144"/>
            <w:shd w:fill="F2F4F6" w:color="auto" w:val="clear"/>
            <w:tcMar>
              <w:top w:type="dxa" w:w="70"/>
              <w:left w:type="dxa" w:w="100"/>
              <w:bottom w:type="dxa" w:w="70"/>
              <w:right w:type="dxa" w:w="100"/>
            </w:tcMar>
            <w:vAlign w:val="top"/>
          </w:tcPr>
          <w:p>
            <w:pPr>
              <w:spacing w:after="0" w:before="0" w:line="252"/>
            </w:pPr>
          </w:p>
        </w:tc>
        <w:tc>
          <w:tcPr>
            <w:tcW w:type="dxa" w:w="2535"/>
            <w:shd w:fill="F2F4F6" w:color="auto" w:val="clear"/>
            <w:tcMar>
              <w:top w:type="dxa" w:w="70"/>
              <w:left w:type="dxa" w:w="100"/>
              <w:bottom w:type="dxa" w:w="70"/>
              <w:right w:type="dxa" w:w="100"/>
            </w:tcMar>
            <w:vAlign w:val="top"/>
          </w:tcPr>
          <w:p>
            <w:pPr>
              <w:spacing w:after="0" w:before="0" w:line="252"/>
            </w:pP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Deconfliction contact</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2144"/>
            <w:shd w:fill="FFFFFF" w:color="auto" w:val="clear"/>
            <w:tcMar>
              <w:top w:type="dxa" w:w="70"/>
              <w:left w:type="dxa" w:w="100"/>
              <w:bottom w:type="dxa" w:w="70"/>
              <w:right w:type="dxa" w:w="100"/>
            </w:tcMar>
            <w:vAlign w:val="top"/>
          </w:tcPr>
          <w:p>
            <w:pPr>
              <w:spacing w:after="0" w:before="0" w:line="252"/>
            </w:pPr>
          </w:p>
        </w:tc>
        <w:tc>
          <w:tcPr>
            <w:tcW w:type="dxa" w:w="2535"/>
            <w:shd w:fill="FFFFFF" w:color="auto" w:val="clear"/>
            <w:tcMar>
              <w:top w:type="dxa" w:w="70"/>
              <w:left w:type="dxa" w:w="100"/>
              <w:bottom w:type="dxa" w:w="70"/>
              <w:right w:type="dxa" w:w="100"/>
            </w:tcMar>
            <w:vAlign w:val="top"/>
          </w:tcPr>
          <w:p>
            <w:pPr>
              <w:spacing w:after="0" w:before="0" w:line="252"/>
            </w:pP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Legal counsel (review)</w:t>
            </w:r>
          </w:p>
        </w:tc>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2144"/>
            <w:shd w:fill="F2F4F6" w:color="auto" w:val="clear"/>
            <w:tcMar>
              <w:top w:type="dxa" w:w="70"/>
              <w:left w:type="dxa" w:w="100"/>
              <w:bottom w:type="dxa" w:w="70"/>
              <w:right w:type="dxa" w:w="100"/>
            </w:tcMar>
            <w:vAlign w:val="top"/>
          </w:tcPr>
          <w:p>
            <w:pPr>
              <w:spacing w:after="0" w:before="0" w:line="252"/>
            </w:pPr>
          </w:p>
        </w:tc>
        <w:tc>
          <w:tcPr>
            <w:tcW w:type="dxa" w:w="2535"/>
            <w:shd w:fill="F2F4F6" w:color="auto" w:val="clear"/>
            <w:tcMar>
              <w:top w:type="dxa" w:w="70"/>
              <w:left w:type="dxa" w:w="100"/>
              <w:bottom w:type="dxa" w:w="70"/>
              <w:right w:type="dxa" w:w="100"/>
            </w:tcMar>
            <w:vAlign w:val="top"/>
          </w:tcPr>
          <w:p>
            <w:pPr>
              <w:spacing w:after="0" w:before="0" w:line="252"/>
            </w:pP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Head of human resources (review)</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2144"/>
            <w:shd w:fill="FFFFFF" w:color="auto" w:val="clear"/>
            <w:tcMar>
              <w:top w:type="dxa" w:w="70"/>
              <w:left w:type="dxa" w:w="100"/>
              <w:bottom w:type="dxa" w:w="70"/>
              <w:right w:type="dxa" w:w="100"/>
            </w:tcMar>
            <w:vAlign w:val="top"/>
          </w:tcPr>
          <w:p>
            <w:pPr>
              <w:spacing w:after="0" w:before="0" w:line="252"/>
            </w:pPr>
          </w:p>
        </w:tc>
        <w:tc>
          <w:tcPr>
            <w:tcW w:type="dxa" w:w="2535"/>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130" w:line="262"/>
      </w:pPr>
      <w:r>
        <w:t xml:space="preserve">Legal review note: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9746"/>
      </w:tblGrid>
      <w:tr>
        <w:trPr>
          <w:cantSplit/>
          <w:tblHeader/>
        </w:trPr>
        <w:tc>
          <w:tcPr>
            <w:tcW w:type="dxa" w:w="974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Legal review note</w:t>
            </w:r>
          </w:p>
        </w:tc>
      </w:tr>
      <w:tr>
        <w:trPr>
          <w:cantSplit/>
        </w:trPr>
        <w:tc>
          <w:tcPr>
            <w:tcW w:type="dxa" w:w="9746"/>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130" w:line="262"/>
      </w:pPr>
      <w:r>
        <w:t xml:space="preserve">Human resources review note, including confirmation that no result will be used for discipline or performance assessment:</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9746"/>
      </w:tblGrid>
      <w:tr>
        <w:trPr>
          <w:cantSplit/>
          <w:tblHeader/>
        </w:trPr>
        <w:tc>
          <w:tcPr>
            <w:tcW w:type="dxa" w:w="974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HR review note</w:t>
            </w:r>
          </w:p>
        </w:tc>
      </w:tr>
      <w:tr>
        <w:trPr>
          <w:cantSplit/>
        </w:trPr>
        <w:tc>
          <w:tcPr>
            <w:tcW w:type="dxa" w:w="9746"/>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0" w:id="1"/>
      <w:r>
        <w:t xml:space="preserve">Appendix B.  Route map worksheet</w:t>
      </w:r>
      <w:bookmarkEnd w:id="1"/>
    </w:p>
    <w:p>
      <w:pPr>
        <w:spacing w:after="130" w:line="262"/>
      </w:pPr>
      <w:r>
        <w:t xml:space="preserve">Complete one row per hop per channel. Where a hop differs by client type or time of day, add a row for each variant. The How verified column records an observation, such as a planted report or a configuration export, never an assurance from the person who configured it.</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533"/>
        <w:gridCol w:w="2144"/>
        <w:gridCol w:w="1754"/>
        <w:gridCol w:w="1364"/>
        <w:gridCol w:w="1951"/>
      </w:tblGrid>
      <w:tr>
        <w:trPr>
          <w:cantSplit/>
          <w:tblHeader/>
        </w:trPr>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Hop</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Configuration as found</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 and deputy</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Hours covered</w:t>
            </w:r>
          </w:p>
        </w:tc>
        <w:tc>
          <w:tcPr>
            <w:tcW w:type="dxa" w:w="195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How verified, and date</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1 Channel: button, desktop client</w:t>
            </w: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1 Channel: button, web mail</w:t>
            </w: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1 Channel: button, mobile app</w:t>
            </w: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1 Channel: button, shared or delegated mailboxes</w:t>
            </w: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1 Channel: forwarding address</w:t>
            </w: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2 Delivery to destination, filtering exclusion</w:t>
            </w: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3 Destination (mailbox, queue or platform)</w:t>
            </w: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4 Monitoring, working hours</w:t>
            </w: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4 Monitoring, outside working hours</w:t>
            </w: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5 Triage criteria in use</w:t>
            </w: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6 Search across mailboxes</w:t>
            </w: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6 Removal from all mailboxes</w:t>
            </w: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6 Block sender, domain, URL, file</w:t>
            </w: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6 Credential reset</w:t>
            </w: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6 Session revocation and persistence check</w:t>
            </w: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6 Staff warning channel</w:t>
            </w: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7 Feedback to reporter</w:t>
            </w: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130" w:line="262"/>
      </w:pPr>
      <w:r>
        <w:t xml:space="preserve">Permission holders for containment actions: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313"/>
        <w:gridCol w:w="1949"/>
        <w:gridCol w:w="1949"/>
        <w:gridCol w:w="2535"/>
      </w:tblGrid>
      <w:tr>
        <w:trPr>
          <w:cantSplit/>
          <w:tblHeader/>
        </w:trPr>
        <w:tc>
          <w:tcPr>
            <w:tcW w:type="dxa" w:w="33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Holder 1</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Holder 2</w:t>
            </w:r>
          </w:p>
        </w:tc>
        <w:tc>
          <w:tcPr>
            <w:tcW w:type="dxa" w:w="253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Exercised in last 12 months (date)</w:t>
            </w:r>
          </w:p>
        </w:tc>
      </w:tr>
      <w:tr>
        <w:trPr>
          <w:cantSplit/>
        </w:trPr>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Search across mailboxes</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2535"/>
            <w:shd w:fill="FFFFFF" w:color="auto" w:val="clear"/>
            <w:tcMar>
              <w:top w:type="dxa" w:w="70"/>
              <w:left w:type="dxa" w:w="100"/>
              <w:bottom w:type="dxa" w:w="70"/>
              <w:right w:type="dxa" w:w="100"/>
            </w:tcMar>
            <w:vAlign w:val="top"/>
          </w:tcPr>
          <w:p>
            <w:pPr>
              <w:spacing w:after="0" w:before="0" w:line="252"/>
            </w:pPr>
          </w:p>
        </w:tc>
      </w:tr>
      <w:tr>
        <w:trPr>
          <w:cantSplit/>
        </w:trPr>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Removal from all mailboxes</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2535"/>
            <w:shd w:fill="F2F4F6" w:color="auto" w:val="clear"/>
            <w:tcMar>
              <w:top w:type="dxa" w:w="70"/>
              <w:left w:type="dxa" w:w="100"/>
              <w:bottom w:type="dxa" w:w="70"/>
              <w:right w:type="dxa" w:w="100"/>
            </w:tcMar>
            <w:vAlign w:val="top"/>
          </w:tcPr>
          <w:p>
            <w:pPr>
              <w:spacing w:after="0" w:before="0" w:line="252"/>
            </w:pPr>
          </w:p>
        </w:tc>
      </w:tr>
      <w:tr>
        <w:trPr>
          <w:cantSplit/>
        </w:trPr>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Tenant or gateway block entries</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2535"/>
            <w:shd w:fill="FFFFFF" w:color="auto" w:val="clear"/>
            <w:tcMar>
              <w:top w:type="dxa" w:w="70"/>
              <w:left w:type="dxa" w:w="100"/>
              <w:bottom w:type="dxa" w:w="70"/>
              <w:right w:type="dxa" w:w="100"/>
            </w:tcMar>
            <w:vAlign w:val="top"/>
          </w:tcPr>
          <w:p>
            <w:pPr>
              <w:spacing w:after="0" w:before="0" w:line="252"/>
            </w:pPr>
          </w:p>
        </w:tc>
      </w:tr>
      <w:tr>
        <w:trPr>
          <w:cantSplit/>
        </w:trPr>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Credential reset</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2535"/>
            <w:shd w:fill="F2F4F6" w:color="auto" w:val="clear"/>
            <w:tcMar>
              <w:top w:type="dxa" w:w="70"/>
              <w:left w:type="dxa" w:w="100"/>
              <w:bottom w:type="dxa" w:w="70"/>
              <w:right w:type="dxa" w:w="100"/>
            </w:tcMar>
            <w:vAlign w:val="top"/>
          </w:tcPr>
          <w:p>
            <w:pPr>
              <w:spacing w:after="0" w:before="0" w:line="252"/>
            </w:pPr>
          </w:p>
        </w:tc>
      </w:tr>
      <w:tr>
        <w:trPr>
          <w:cantSplit/>
        </w:trPr>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Session revocation</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2535"/>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1" w:id="1"/>
      <w:r>
        <w:t xml:space="preserve">Appendix C.  Planted report test record</w:t>
      </w:r>
      <w:bookmarkEnd w:id="1"/>
    </w:p>
    <w:p>
      <w:pPr>
        <w:spacing w:after="130" w:line="262"/>
      </w:pPr>
      <w:r>
        <w:t xml:space="preserve">Complete one record per planted report, the same day. Every time is taken from a system record; name the record in the Source column.</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385"/>
        <w:gridCol w:w="5361"/>
      </w:tblGrid>
      <w:tr>
        <w:trPr>
          <w:cantSplit/>
          <w:tblHeader/>
        </w:trPr>
        <w:tc>
          <w:tcPr>
            <w:tcW w:type="dxa" w:w="438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53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Test identifier and authorization reference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Channel and client type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Time band (working hours, evening, overnight, weekend or holiday)</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Number of mailboxes the planted message was delivered to</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Exposed account named in the report</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Tested by</w:t>
            </w:r>
          </w:p>
        </w:tc>
        <w:tc>
          <w:tcPr>
            <w:tcW w:type="dxa" w:w="5361"/>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508"/>
        <w:gridCol w:w="1169"/>
        <w:gridCol w:w="1949"/>
        <w:gridCol w:w="1559"/>
        <w:gridCol w:w="1561"/>
      </w:tblGrid>
      <w:tr>
        <w:trPr>
          <w:cantSplit/>
          <w:tblHeader/>
        </w:trPr>
        <w:tc>
          <w:tcPr>
            <w:tcW w:type="dxa" w:w="350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Event</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Time</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Source record</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Elapsed from report sent</w:t>
            </w:r>
          </w:p>
        </w:tc>
        <w:tc>
          <w:tcPr>
            <w:tcW w:type="dxa" w:w="15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Pass or fail</w:t>
            </w: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Planted message delivered (first and last copy)</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Not applicable</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Not applicable</w:t>
            </w: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Report sent</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0</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Not applicable</w:t>
            </w: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Report arrived at destination, original intact</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First responder touch</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Triage classification recorded (state classification)</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Out-of-hours escalation made (if applicable)</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Search across mailboxes run</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Removal from all mailboxes complete (copies removed / copies delivered)</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Sender and URL blocked</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Exposed account credential reset</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Exposed account sessions revoked</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Persistence checked (rules, forwarding, methods, consents)</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Feedback sent to reporter</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Deconfliction contact called (if so, by whom and why)</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Test closed and disclosed</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9746"/>
      </w:tblGrid>
      <w:tr>
        <w:trPr>
          <w:cantSplit/>
          <w:tblHeader/>
        </w:trPr>
        <w:tc>
          <w:tcPr>
            <w:tcW w:type="dxa" w:w="974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Observations, including any hop that left no timestamped record</w:t>
            </w:r>
          </w:p>
        </w:tc>
      </w:tr>
      <w:tr>
        <w:trPr>
          <w:cantSplit/>
        </w:trPr>
        <w:tc>
          <w:tcPr>
            <w:tcW w:type="dxa" w:w="9746"/>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2" w:id="1"/>
      <w:r>
        <w:t xml:space="preserve">Appendix D.  Scenario design sheet</w:t>
      </w:r>
      <w:bookmarkEnd w:id="1"/>
    </w:p>
    <w:p>
      <w:pPr>
        <w:spacing w:after="130" w:line="262"/>
      </w:pPr>
      <w:r>
        <w:t xml:space="preserve">Complete one sheet per scenario. Two people rate the scenario independently before it is sent.</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3"/>
        <w:gridCol w:w="4873"/>
      </w:tblGrid>
      <w:tr>
        <w:trPr>
          <w:cantSplit/>
          <w:tblHeader/>
        </w:trPr>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Scenario identifier and header value</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Premise (one sentence)</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Target population and approximate size</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Sender name and address used</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Call to action (link, form, attachment)</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Landing page URL on the test domain</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Ethics check: no excluded topic, no impersonation of the reporting channel, no named internal person without consent, no government or law enforcement body (confirm each)</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Brand use: fictitious, or right to use confirmed</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Dummy password submission check: date, by whom, result (password not found in any record)</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Delivery check on each client type: date, result</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Report check on each channel: date, result, and whether report reached the real destination</w:t>
            </w:r>
          </w:p>
        </w:tc>
        <w:tc>
          <w:tcPr>
            <w:tcW w:type="dxa" w:w="4873"/>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898"/>
        <w:gridCol w:w="1949"/>
        <w:gridCol w:w="1949"/>
        <w:gridCol w:w="1950"/>
      </w:tblGrid>
      <w:tr>
        <w:trPr>
          <w:cantSplit/>
          <w:tblHeader/>
        </w:trPr>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Rating element</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Rater 1</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Rater 2</w:t>
            </w:r>
          </w:p>
        </w:tc>
        <w:tc>
          <w:tcPr>
            <w:tcW w:type="dxa" w:w="195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Used</w:t>
            </w: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Cue count (of 23)</w:t>
            </w: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950"/>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Cue category (Few, Some, Many)</w:t>
            </w: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950"/>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Premise alignment score (range -8 to 32)</w:t>
            </w: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950"/>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Premise alignment category (Weak, Medium, Strong)</w:t>
            </w: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950"/>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Detection difficulty</w:t>
            </w: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950"/>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Rater name and date</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1950"/>
            <w:shd w:fill="F2F4F6" w:color="auto" w:val="clear"/>
            <w:tcMar>
              <w:top w:type="dxa" w:w="70"/>
              <w:left w:type="dxa" w:w="100"/>
              <w:bottom w:type="dxa" w:w="70"/>
              <w:right w:type="dxa" w:w="100"/>
            </w:tcMar>
            <w:vAlign w:val="top"/>
          </w:tcPr>
          <w:p>
            <w:pPr>
              <w:spacing w:after="0" w:before="0" w:line="252"/>
            </w:pPr>
            <w:r>
              <w:rPr>
                <w:sz w:val="17"/>
                <w:szCs w:val="17"/>
              </w:rPr>
              <w:t xml:space="preserve">Not applicable</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3" w:id="1"/>
      <w:r>
        <w:t xml:space="preserve">Appendix E.  Results record with metric formulas</w:t>
      </w:r>
      <w:bookmarkEnd w:id="1"/>
    </w:p>
    <w:p>
      <w:pPr>
        <w:spacing w:after="130" w:line="262"/>
      </w:pPr>
      <w:r>
        <w:t xml:space="preserve">Complete one record per scenario. Show the numerator and denominator for every rate, not only the percentage, so the figure can be checked.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339"/>
        <w:gridCol w:w="3313"/>
        <w:gridCol w:w="1364"/>
        <w:gridCol w:w="1364"/>
        <w:gridCol w:w="1366"/>
      </w:tblGrid>
      <w:tr>
        <w:trPr>
          <w:cantSplit/>
          <w:tblHeader/>
        </w:trPr>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Measure</w:t>
            </w:r>
          </w:p>
        </w:tc>
        <w:tc>
          <w:tcPr>
            <w:tcW w:type="dxa" w:w="33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Formula</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Numerator</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Denominator</w:t>
            </w:r>
          </w:p>
        </w:tc>
        <w:tc>
          <w:tcPr>
            <w:tcW w:type="dxa" w:w="136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Result</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Delivered recipients (D)</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In-scope recipients whose mailbox received the scenario</w:t>
            </w: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Not applicable</w:t>
            </w: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Not delivered</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Recipients whose copy was filtered, quarantined or bounced</w:t>
            </w: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Not applicable</w:t>
            </w: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Reporting rate</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Unique sanctioned reporters / D</w:t>
            </w: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Unsanctioned report rate</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Unique reporters through unsanctioned channels only / D</w:t>
            </w: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Time to first report</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First sanctioned report arrival minus first batch delivery</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Not applicable</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Not applicable</w:t>
            </w: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Time to triage</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First classification time minus first report arrival</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Not applicable</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Not applicable</w:t>
            </w: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Time to containment action (removal)</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Removal complete minus first report arrival</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Not applicable</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Not applicable</w:t>
            </w: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Time to sender and URL block</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Block in place minus first report arrival</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Not applicable</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Not applicable</w:t>
            </w: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Containment coverage</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Copies removed / copies delivered</w:t>
            </w: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Exposure before containment</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Unique clickers before removal complete / D</w:t>
            </w: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Click rate (secondary)</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Unique clickers, scanner clicks excluded / D</w:t>
            </w: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Credential submission rate (secondary)</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Unique submitters / D</w:t>
            </w: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Click-then-report rate</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Unique clickers who then reported / unique clickers</w:t>
            </w: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Report-before-click ratio</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Reporters who did not click / clickers who did not report</w:t>
            </w: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385"/>
        <w:gridCol w:w="5361"/>
      </w:tblGrid>
      <w:tr>
        <w:trPr>
          <w:cantSplit/>
          <w:tblHeader/>
        </w:trPr>
        <w:tc>
          <w:tcPr>
            <w:tcW w:type="dxa" w:w="438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Context</w:t>
            </w:r>
          </w:p>
        </w:tc>
        <w:tc>
          <w:tcPr>
            <w:tcW w:type="dxa" w:w="53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Scenario identifier and difficulty rating</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Delivery window and batches</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Scanner click exclusion rule applied</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Previous result at the same difficulty (cycle and reporting rate)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Groups under 10 people suppressed from reporting</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Recorded by and date</w:t>
            </w:r>
          </w:p>
        </w:tc>
        <w:tc>
          <w:tcPr>
            <w:tcW w:type="dxa" w:w="5361"/>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4" w:id="1"/>
      <w:r>
        <w:t xml:space="preserve">Appendix F.  Findings and retest log</w:t>
      </w:r>
      <w:bookmarkEnd w:id="1"/>
    </w:p>
    <w:p>
      <w:pPr>
        <w:spacing w:after="130" w:line="262"/>
      </w:pPr>
      <w:r>
        <w:t xml:space="preserve">One row per finding. A finding is closed only by a passing retest of the hop, recorded with its Appendix C reference.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266"/>
        <w:gridCol w:w="2631"/>
        <w:gridCol w:w="1072"/>
        <w:gridCol w:w="1461"/>
        <w:gridCol w:w="1461"/>
        <w:gridCol w:w="1855"/>
      </w:tblGrid>
      <w:tr>
        <w:trPr>
          <w:cantSplit/>
          <w:tblHeader/>
        </w:trPr>
        <w:tc>
          <w:tcPr>
            <w:tcW w:type="dxa" w:w="126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Ref and date raised</w:t>
            </w:r>
          </w:p>
        </w:tc>
        <w:tc>
          <w:tcPr>
            <w:tcW w:type="dxa" w:w="263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Hop and finding, with evidence reference</w:t>
            </w:r>
          </w:p>
        </w:tc>
        <w:tc>
          <w:tcPr>
            <w:tcW w:type="dxa" w:w="107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Severity</w:t>
            </w:r>
          </w:p>
        </w:tc>
        <w:tc>
          <w:tcPr>
            <w:tcW w:type="dxa" w:w="14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 and target date</w:t>
            </w:r>
          </w:p>
        </w:tc>
        <w:tc>
          <w:tcPr>
            <w:tcW w:type="dxa" w:w="14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Corrective action reported complete (date)</w:t>
            </w:r>
          </w:p>
        </w:tc>
        <w:tc>
          <w:tcPr>
            <w:tcW w:type="dxa" w:w="185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Retest result, date and Appendix C ref</w:t>
            </w:r>
          </w:p>
        </w:tc>
      </w:tr>
      <w:tr>
        <w:trPr>
          <w:cantSplit/>
        </w:trPr>
        <w:tc>
          <w:tcPr>
            <w:tcW w:type="dxa" w:w="1266"/>
            <w:shd w:fill="FFFFFF" w:color="auto" w:val="clear"/>
            <w:tcMar>
              <w:top w:type="dxa" w:w="70"/>
              <w:left w:type="dxa" w:w="100"/>
              <w:bottom w:type="dxa" w:w="70"/>
              <w:right w:type="dxa" w:w="100"/>
            </w:tcMar>
            <w:vAlign w:val="top"/>
          </w:tcPr>
          <w:p>
            <w:pPr>
              <w:spacing w:after="0" w:before="0" w:line="252"/>
            </w:pPr>
          </w:p>
        </w:tc>
        <w:tc>
          <w:tcPr>
            <w:tcW w:type="dxa" w:w="2631"/>
            <w:shd w:fill="FFFFFF" w:color="auto" w:val="clear"/>
            <w:tcMar>
              <w:top w:type="dxa" w:w="70"/>
              <w:left w:type="dxa" w:w="100"/>
              <w:bottom w:type="dxa" w:w="70"/>
              <w:right w:type="dxa" w:w="100"/>
            </w:tcMar>
            <w:vAlign w:val="top"/>
          </w:tcPr>
          <w:p>
            <w:pPr>
              <w:spacing w:after="0" w:before="0" w:line="252"/>
            </w:pPr>
          </w:p>
        </w:tc>
        <w:tc>
          <w:tcPr>
            <w:tcW w:type="dxa" w:w="1072"/>
            <w:shd w:fill="FFFFFF" w:color="auto" w:val="clear"/>
            <w:tcMar>
              <w:top w:type="dxa" w:w="70"/>
              <w:left w:type="dxa" w:w="100"/>
              <w:bottom w:type="dxa" w:w="70"/>
              <w:right w:type="dxa" w:w="100"/>
            </w:tcMar>
            <w:vAlign w:val="top"/>
          </w:tcPr>
          <w:p>
            <w:pPr>
              <w:spacing w:after="0" w:before="0" w:line="252"/>
            </w:pPr>
          </w:p>
        </w:tc>
        <w:tc>
          <w:tcPr>
            <w:tcW w:type="dxa" w:w="1461"/>
            <w:shd w:fill="FFFFFF" w:color="auto" w:val="clear"/>
            <w:tcMar>
              <w:top w:type="dxa" w:w="70"/>
              <w:left w:type="dxa" w:w="100"/>
              <w:bottom w:type="dxa" w:w="70"/>
              <w:right w:type="dxa" w:w="100"/>
            </w:tcMar>
            <w:vAlign w:val="top"/>
          </w:tcPr>
          <w:p>
            <w:pPr>
              <w:spacing w:after="0" w:before="0" w:line="252"/>
            </w:pPr>
          </w:p>
        </w:tc>
        <w:tc>
          <w:tcPr>
            <w:tcW w:type="dxa" w:w="1461"/>
            <w:shd w:fill="FFFFFF" w:color="auto" w:val="clear"/>
            <w:tcMar>
              <w:top w:type="dxa" w:w="70"/>
              <w:left w:type="dxa" w:w="100"/>
              <w:bottom w:type="dxa" w:w="70"/>
              <w:right w:type="dxa" w:w="100"/>
            </w:tcMar>
            <w:vAlign w:val="top"/>
          </w:tcPr>
          <w:p>
            <w:pPr>
              <w:spacing w:after="0" w:before="0" w:line="252"/>
            </w:pPr>
          </w:p>
        </w:tc>
        <w:tc>
          <w:tcPr>
            <w:tcW w:type="dxa" w:w="1855"/>
            <w:shd w:fill="FFFFFF" w:color="auto" w:val="clear"/>
            <w:tcMar>
              <w:top w:type="dxa" w:w="70"/>
              <w:left w:type="dxa" w:w="100"/>
              <w:bottom w:type="dxa" w:w="70"/>
              <w:right w:type="dxa" w:w="100"/>
            </w:tcMar>
            <w:vAlign w:val="top"/>
          </w:tcPr>
          <w:p>
            <w:pPr>
              <w:spacing w:after="0" w:before="0" w:line="252"/>
            </w:pPr>
          </w:p>
        </w:tc>
      </w:tr>
      <w:tr>
        <w:trPr>
          <w:cantSplit/>
        </w:trPr>
        <w:tc>
          <w:tcPr>
            <w:tcW w:type="dxa" w:w="1266"/>
            <w:shd w:fill="F2F4F6" w:color="auto" w:val="clear"/>
            <w:tcMar>
              <w:top w:type="dxa" w:w="70"/>
              <w:left w:type="dxa" w:w="100"/>
              <w:bottom w:type="dxa" w:w="70"/>
              <w:right w:type="dxa" w:w="100"/>
            </w:tcMar>
            <w:vAlign w:val="top"/>
          </w:tcPr>
          <w:p>
            <w:pPr>
              <w:spacing w:after="0" w:before="0" w:line="252"/>
            </w:pPr>
          </w:p>
        </w:tc>
        <w:tc>
          <w:tcPr>
            <w:tcW w:type="dxa" w:w="2631"/>
            <w:shd w:fill="F2F4F6" w:color="auto" w:val="clear"/>
            <w:tcMar>
              <w:top w:type="dxa" w:w="70"/>
              <w:left w:type="dxa" w:w="100"/>
              <w:bottom w:type="dxa" w:w="70"/>
              <w:right w:type="dxa" w:w="100"/>
            </w:tcMar>
            <w:vAlign w:val="top"/>
          </w:tcPr>
          <w:p>
            <w:pPr>
              <w:spacing w:after="0" w:before="0" w:line="252"/>
            </w:pPr>
          </w:p>
        </w:tc>
        <w:tc>
          <w:tcPr>
            <w:tcW w:type="dxa" w:w="1072"/>
            <w:shd w:fill="F2F4F6" w:color="auto" w:val="clear"/>
            <w:tcMar>
              <w:top w:type="dxa" w:w="70"/>
              <w:left w:type="dxa" w:w="100"/>
              <w:bottom w:type="dxa" w:w="70"/>
              <w:right w:type="dxa" w:w="100"/>
            </w:tcMar>
            <w:vAlign w:val="top"/>
          </w:tcPr>
          <w:p>
            <w:pPr>
              <w:spacing w:after="0" w:before="0" w:line="252"/>
            </w:pPr>
          </w:p>
        </w:tc>
        <w:tc>
          <w:tcPr>
            <w:tcW w:type="dxa" w:w="1461"/>
            <w:shd w:fill="F2F4F6" w:color="auto" w:val="clear"/>
            <w:tcMar>
              <w:top w:type="dxa" w:w="70"/>
              <w:left w:type="dxa" w:w="100"/>
              <w:bottom w:type="dxa" w:w="70"/>
              <w:right w:type="dxa" w:w="100"/>
            </w:tcMar>
            <w:vAlign w:val="top"/>
          </w:tcPr>
          <w:p>
            <w:pPr>
              <w:spacing w:after="0" w:before="0" w:line="252"/>
            </w:pPr>
          </w:p>
        </w:tc>
        <w:tc>
          <w:tcPr>
            <w:tcW w:type="dxa" w:w="1461"/>
            <w:shd w:fill="F2F4F6" w:color="auto" w:val="clear"/>
            <w:tcMar>
              <w:top w:type="dxa" w:w="70"/>
              <w:left w:type="dxa" w:w="100"/>
              <w:bottom w:type="dxa" w:w="70"/>
              <w:right w:type="dxa" w:w="100"/>
            </w:tcMar>
            <w:vAlign w:val="top"/>
          </w:tcPr>
          <w:p>
            <w:pPr>
              <w:spacing w:after="0" w:before="0" w:line="252"/>
            </w:pPr>
          </w:p>
        </w:tc>
        <w:tc>
          <w:tcPr>
            <w:tcW w:type="dxa" w:w="1855"/>
            <w:shd w:fill="F2F4F6" w:color="auto" w:val="clear"/>
            <w:tcMar>
              <w:top w:type="dxa" w:w="70"/>
              <w:left w:type="dxa" w:w="100"/>
              <w:bottom w:type="dxa" w:w="70"/>
              <w:right w:type="dxa" w:w="100"/>
            </w:tcMar>
            <w:vAlign w:val="top"/>
          </w:tcPr>
          <w:p>
            <w:pPr>
              <w:spacing w:after="0" w:before="0" w:line="252"/>
            </w:pPr>
          </w:p>
        </w:tc>
      </w:tr>
      <w:tr>
        <w:trPr>
          <w:cantSplit/>
        </w:trPr>
        <w:tc>
          <w:tcPr>
            <w:tcW w:type="dxa" w:w="1266"/>
            <w:shd w:fill="FFFFFF" w:color="auto" w:val="clear"/>
            <w:tcMar>
              <w:top w:type="dxa" w:w="70"/>
              <w:left w:type="dxa" w:w="100"/>
              <w:bottom w:type="dxa" w:w="70"/>
              <w:right w:type="dxa" w:w="100"/>
            </w:tcMar>
            <w:vAlign w:val="top"/>
          </w:tcPr>
          <w:p>
            <w:pPr>
              <w:spacing w:after="0" w:before="0" w:line="252"/>
            </w:pPr>
          </w:p>
        </w:tc>
        <w:tc>
          <w:tcPr>
            <w:tcW w:type="dxa" w:w="2631"/>
            <w:shd w:fill="FFFFFF" w:color="auto" w:val="clear"/>
            <w:tcMar>
              <w:top w:type="dxa" w:w="70"/>
              <w:left w:type="dxa" w:w="100"/>
              <w:bottom w:type="dxa" w:w="70"/>
              <w:right w:type="dxa" w:w="100"/>
            </w:tcMar>
            <w:vAlign w:val="top"/>
          </w:tcPr>
          <w:p>
            <w:pPr>
              <w:spacing w:after="0" w:before="0" w:line="252"/>
            </w:pPr>
          </w:p>
        </w:tc>
        <w:tc>
          <w:tcPr>
            <w:tcW w:type="dxa" w:w="1072"/>
            <w:shd w:fill="FFFFFF" w:color="auto" w:val="clear"/>
            <w:tcMar>
              <w:top w:type="dxa" w:w="70"/>
              <w:left w:type="dxa" w:w="100"/>
              <w:bottom w:type="dxa" w:w="70"/>
              <w:right w:type="dxa" w:w="100"/>
            </w:tcMar>
            <w:vAlign w:val="top"/>
          </w:tcPr>
          <w:p>
            <w:pPr>
              <w:spacing w:after="0" w:before="0" w:line="252"/>
            </w:pPr>
          </w:p>
        </w:tc>
        <w:tc>
          <w:tcPr>
            <w:tcW w:type="dxa" w:w="1461"/>
            <w:shd w:fill="FFFFFF" w:color="auto" w:val="clear"/>
            <w:tcMar>
              <w:top w:type="dxa" w:w="70"/>
              <w:left w:type="dxa" w:w="100"/>
              <w:bottom w:type="dxa" w:w="70"/>
              <w:right w:type="dxa" w:w="100"/>
            </w:tcMar>
            <w:vAlign w:val="top"/>
          </w:tcPr>
          <w:p>
            <w:pPr>
              <w:spacing w:after="0" w:before="0" w:line="252"/>
            </w:pPr>
          </w:p>
        </w:tc>
        <w:tc>
          <w:tcPr>
            <w:tcW w:type="dxa" w:w="1461"/>
            <w:shd w:fill="FFFFFF" w:color="auto" w:val="clear"/>
            <w:tcMar>
              <w:top w:type="dxa" w:w="70"/>
              <w:left w:type="dxa" w:w="100"/>
              <w:bottom w:type="dxa" w:w="70"/>
              <w:right w:type="dxa" w:w="100"/>
            </w:tcMar>
            <w:vAlign w:val="top"/>
          </w:tcPr>
          <w:p>
            <w:pPr>
              <w:spacing w:after="0" w:before="0" w:line="252"/>
            </w:pPr>
          </w:p>
        </w:tc>
        <w:tc>
          <w:tcPr>
            <w:tcW w:type="dxa" w:w="1855"/>
            <w:shd w:fill="FFFFFF" w:color="auto" w:val="clear"/>
            <w:tcMar>
              <w:top w:type="dxa" w:w="70"/>
              <w:left w:type="dxa" w:w="100"/>
              <w:bottom w:type="dxa" w:w="70"/>
              <w:right w:type="dxa" w:w="100"/>
            </w:tcMar>
            <w:vAlign w:val="top"/>
          </w:tcPr>
          <w:p>
            <w:pPr>
              <w:spacing w:after="0" w:before="0" w:line="252"/>
            </w:pPr>
          </w:p>
        </w:tc>
      </w:tr>
      <w:tr>
        <w:trPr>
          <w:cantSplit/>
        </w:trPr>
        <w:tc>
          <w:tcPr>
            <w:tcW w:type="dxa" w:w="1266"/>
            <w:shd w:fill="F2F4F6" w:color="auto" w:val="clear"/>
            <w:tcMar>
              <w:top w:type="dxa" w:w="70"/>
              <w:left w:type="dxa" w:w="100"/>
              <w:bottom w:type="dxa" w:w="70"/>
              <w:right w:type="dxa" w:w="100"/>
            </w:tcMar>
            <w:vAlign w:val="top"/>
          </w:tcPr>
          <w:p>
            <w:pPr>
              <w:spacing w:after="0" w:before="0" w:line="252"/>
            </w:pPr>
          </w:p>
        </w:tc>
        <w:tc>
          <w:tcPr>
            <w:tcW w:type="dxa" w:w="2631"/>
            <w:shd w:fill="F2F4F6" w:color="auto" w:val="clear"/>
            <w:tcMar>
              <w:top w:type="dxa" w:w="70"/>
              <w:left w:type="dxa" w:w="100"/>
              <w:bottom w:type="dxa" w:w="70"/>
              <w:right w:type="dxa" w:w="100"/>
            </w:tcMar>
            <w:vAlign w:val="top"/>
          </w:tcPr>
          <w:p>
            <w:pPr>
              <w:spacing w:after="0" w:before="0" w:line="252"/>
            </w:pPr>
          </w:p>
        </w:tc>
        <w:tc>
          <w:tcPr>
            <w:tcW w:type="dxa" w:w="1072"/>
            <w:shd w:fill="F2F4F6" w:color="auto" w:val="clear"/>
            <w:tcMar>
              <w:top w:type="dxa" w:w="70"/>
              <w:left w:type="dxa" w:w="100"/>
              <w:bottom w:type="dxa" w:w="70"/>
              <w:right w:type="dxa" w:w="100"/>
            </w:tcMar>
            <w:vAlign w:val="top"/>
          </w:tcPr>
          <w:p>
            <w:pPr>
              <w:spacing w:after="0" w:before="0" w:line="252"/>
            </w:pPr>
          </w:p>
        </w:tc>
        <w:tc>
          <w:tcPr>
            <w:tcW w:type="dxa" w:w="1461"/>
            <w:shd w:fill="F2F4F6" w:color="auto" w:val="clear"/>
            <w:tcMar>
              <w:top w:type="dxa" w:w="70"/>
              <w:left w:type="dxa" w:w="100"/>
              <w:bottom w:type="dxa" w:w="70"/>
              <w:right w:type="dxa" w:w="100"/>
            </w:tcMar>
            <w:vAlign w:val="top"/>
          </w:tcPr>
          <w:p>
            <w:pPr>
              <w:spacing w:after="0" w:before="0" w:line="252"/>
            </w:pPr>
          </w:p>
        </w:tc>
        <w:tc>
          <w:tcPr>
            <w:tcW w:type="dxa" w:w="1461"/>
            <w:shd w:fill="F2F4F6" w:color="auto" w:val="clear"/>
            <w:tcMar>
              <w:top w:type="dxa" w:w="70"/>
              <w:left w:type="dxa" w:w="100"/>
              <w:bottom w:type="dxa" w:w="70"/>
              <w:right w:type="dxa" w:w="100"/>
            </w:tcMar>
            <w:vAlign w:val="top"/>
          </w:tcPr>
          <w:p>
            <w:pPr>
              <w:spacing w:after="0" w:before="0" w:line="252"/>
            </w:pPr>
          </w:p>
        </w:tc>
        <w:tc>
          <w:tcPr>
            <w:tcW w:type="dxa" w:w="1855"/>
            <w:shd w:fill="F2F4F6" w:color="auto" w:val="clear"/>
            <w:tcMar>
              <w:top w:type="dxa" w:w="70"/>
              <w:left w:type="dxa" w:w="100"/>
              <w:bottom w:type="dxa" w:w="70"/>
              <w:right w:type="dxa" w:w="100"/>
            </w:tcMar>
            <w:vAlign w:val="top"/>
          </w:tcPr>
          <w:p>
            <w:pPr>
              <w:spacing w:after="0" w:before="0" w:line="252"/>
            </w:pPr>
          </w:p>
        </w:tc>
      </w:tr>
      <w:tr>
        <w:trPr>
          <w:cantSplit/>
        </w:trPr>
        <w:tc>
          <w:tcPr>
            <w:tcW w:type="dxa" w:w="1266"/>
            <w:shd w:fill="FFFFFF" w:color="auto" w:val="clear"/>
            <w:tcMar>
              <w:top w:type="dxa" w:w="70"/>
              <w:left w:type="dxa" w:w="100"/>
              <w:bottom w:type="dxa" w:w="70"/>
              <w:right w:type="dxa" w:w="100"/>
            </w:tcMar>
            <w:vAlign w:val="top"/>
          </w:tcPr>
          <w:p>
            <w:pPr>
              <w:spacing w:after="0" w:before="0" w:line="252"/>
            </w:pPr>
          </w:p>
        </w:tc>
        <w:tc>
          <w:tcPr>
            <w:tcW w:type="dxa" w:w="2631"/>
            <w:shd w:fill="FFFFFF" w:color="auto" w:val="clear"/>
            <w:tcMar>
              <w:top w:type="dxa" w:w="70"/>
              <w:left w:type="dxa" w:w="100"/>
              <w:bottom w:type="dxa" w:w="70"/>
              <w:right w:type="dxa" w:w="100"/>
            </w:tcMar>
            <w:vAlign w:val="top"/>
          </w:tcPr>
          <w:p>
            <w:pPr>
              <w:spacing w:after="0" w:before="0" w:line="252"/>
            </w:pPr>
          </w:p>
        </w:tc>
        <w:tc>
          <w:tcPr>
            <w:tcW w:type="dxa" w:w="1072"/>
            <w:shd w:fill="FFFFFF" w:color="auto" w:val="clear"/>
            <w:tcMar>
              <w:top w:type="dxa" w:w="70"/>
              <w:left w:type="dxa" w:w="100"/>
              <w:bottom w:type="dxa" w:w="70"/>
              <w:right w:type="dxa" w:w="100"/>
            </w:tcMar>
            <w:vAlign w:val="top"/>
          </w:tcPr>
          <w:p>
            <w:pPr>
              <w:spacing w:after="0" w:before="0" w:line="252"/>
            </w:pPr>
          </w:p>
        </w:tc>
        <w:tc>
          <w:tcPr>
            <w:tcW w:type="dxa" w:w="1461"/>
            <w:shd w:fill="FFFFFF" w:color="auto" w:val="clear"/>
            <w:tcMar>
              <w:top w:type="dxa" w:w="70"/>
              <w:left w:type="dxa" w:w="100"/>
              <w:bottom w:type="dxa" w:w="70"/>
              <w:right w:type="dxa" w:w="100"/>
            </w:tcMar>
            <w:vAlign w:val="top"/>
          </w:tcPr>
          <w:p>
            <w:pPr>
              <w:spacing w:after="0" w:before="0" w:line="252"/>
            </w:pPr>
          </w:p>
        </w:tc>
        <w:tc>
          <w:tcPr>
            <w:tcW w:type="dxa" w:w="1461"/>
            <w:shd w:fill="FFFFFF" w:color="auto" w:val="clear"/>
            <w:tcMar>
              <w:top w:type="dxa" w:w="70"/>
              <w:left w:type="dxa" w:w="100"/>
              <w:bottom w:type="dxa" w:w="70"/>
              <w:right w:type="dxa" w:w="100"/>
            </w:tcMar>
            <w:vAlign w:val="top"/>
          </w:tcPr>
          <w:p>
            <w:pPr>
              <w:spacing w:after="0" w:before="0" w:line="252"/>
            </w:pPr>
          </w:p>
        </w:tc>
        <w:tc>
          <w:tcPr>
            <w:tcW w:type="dxa" w:w="1855"/>
            <w:shd w:fill="FFFFFF" w:color="auto" w:val="clear"/>
            <w:tcMar>
              <w:top w:type="dxa" w:w="70"/>
              <w:left w:type="dxa" w:w="100"/>
              <w:bottom w:type="dxa" w:w="70"/>
              <w:right w:type="dxa" w:w="100"/>
            </w:tcMar>
            <w:vAlign w:val="top"/>
          </w:tcPr>
          <w:p>
            <w:pPr>
              <w:spacing w:after="0" w:before="0" w:line="252"/>
            </w:pPr>
          </w:p>
        </w:tc>
      </w:tr>
      <w:tr>
        <w:trPr>
          <w:cantSplit/>
        </w:trPr>
        <w:tc>
          <w:tcPr>
            <w:tcW w:type="dxa" w:w="1266"/>
            <w:shd w:fill="F2F4F6" w:color="auto" w:val="clear"/>
            <w:tcMar>
              <w:top w:type="dxa" w:w="70"/>
              <w:left w:type="dxa" w:w="100"/>
              <w:bottom w:type="dxa" w:w="70"/>
              <w:right w:type="dxa" w:w="100"/>
            </w:tcMar>
            <w:vAlign w:val="top"/>
          </w:tcPr>
          <w:p>
            <w:pPr>
              <w:spacing w:after="0" w:before="0" w:line="252"/>
            </w:pPr>
          </w:p>
        </w:tc>
        <w:tc>
          <w:tcPr>
            <w:tcW w:type="dxa" w:w="2631"/>
            <w:shd w:fill="F2F4F6" w:color="auto" w:val="clear"/>
            <w:tcMar>
              <w:top w:type="dxa" w:w="70"/>
              <w:left w:type="dxa" w:w="100"/>
              <w:bottom w:type="dxa" w:w="70"/>
              <w:right w:type="dxa" w:w="100"/>
            </w:tcMar>
            <w:vAlign w:val="top"/>
          </w:tcPr>
          <w:p>
            <w:pPr>
              <w:spacing w:after="0" w:before="0" w:line="252"/>
            </w:pPr>
          </w:p>
        </w:tc>
        <w:tc>
          <w:tcPr>
            <w:tcW w:type="dxa" w:w="1072"/>
            <w:shd w:fill="F2F4F6" w:color="auto" w:val="clear"/>
            <w:tcMar>
              <w:top w:type="dxa" w:w="70"/>
              <w:left w:type="dxa" w:w="100"/>
              <w:bottom w:type="dxa" w:w="70"/>
              <w:right w:type="dxa" w:w="100"/>
            </w:tcMar>
            <w:vAlign w:val="top"/>
          </w:tcPr>
          <w:p>
            <w:pPr>
              <w:spacing w:after="0" w:before="0" w:line="252"/>
            </w:pPr>
          </w:p>
        </w:tc>
        <w:tc>
          <w:tcPr>
            <w:tcW w:type="dxa" w:w="1461"/>
            <w:shd w:fill="F2F4F6" w:color="auto" w:val="clear"/>
            <w:tcMar>
              <w:top w:type="dxa" w:w="70"/>
              <w:left w:type="dxa" w:w="100"/>
              <w:bottom w:type="dxa" w:w="70"/>
              <w:right w:type="dxa" w:w="100"/>
            </w:tcMar>
            <w:vAlign w:val="top"/>
          </w:tcPr>
          <w:p>
            <w:pPr>
              <w:spacing w:after="0" w:before="0" w:line="252"/>
            </w:pPr>
          </w:p>
        </w:tc>
        <w:tc>
          <w:tcPr>
            <w:tcW w:type="dxa" w:w="1461"/>
            <w:shd w:fill="F2F4F6" w:color="auto" w:val="clear"/>
            <w:tcMar>
              <w:top w:type="dxa" w:w="70"/>
              <w:left w:type="dxa" w:w="100"/>
              <w:bottom w:type="dxa" w:w="70"/>
              <w:right w:type="dxa" w:w="100"/>
            </w:tcMar>
            <w:vAlign w:val="top"/>
          </w:tcPr>
          <w:p>
            <w:pPr>
              <w:spacing w:after="0" w:before="0" w:line="252"/>
            </w:pPr>
          </w:p>
        </w:tc>
        <w:tc>
          <w:tcPr>
            <w:tcW w:type="dxa" w:w="1855"/>
            <w:shd w:fill="F2F4F6" w:color="auto" w:val="clear"/>
            <w:tcMar>
              <w:top w:type="dxa" w:w="70"/>
              <w:left w:type="dxa" w:w="100"/>
              <w:bottom w:type="dxa" w:w="70"/>
              <w:right w:type="dxa" w:w="100"/>
            </w:tcMar>
            <w:vAlign w:val="top"/>
          </w:tcPr>
          <w:p>
            <w:pPr>
              <w:spacing w:after="0" w:before="0" w:line="252"/>
            </w:pPr>
          </w:p>
        </w:tc>
      </w:tr>
      <w:tr>
        <w:trPr>
          <w:cantSplit/>
        </w:trPr>
        <w:tc>
          <w:tcPr>
            <w:tcW w:type="dxa" w:w="1266"/>
            <w:shd w:fill="FFFFFF" w:color="auto" w:val="clear"/>
            <w:tcMar>
              <w:top w:type="dxa" w:w="70"/>
              <w:left w:type="dxa" w:w="100"/>
              <w:bottom w:type="dxa" w:w="70"/>
              <w:right w:type="dxa" w:w="100"/>
            </w:tcMar>
            <w:vAlign w:val="top"/>
          </w:tcPr>
          <w:p>
            <w:pPr>
              <w:spacing w:after="0" w:before="0" w:line="252"/>
            </w:pPr>
          </w:p>
        </w:tc>
        <w:tc>
          <w:tcPr>
            <w:tcW w:type="dxa" w:w="2631"/>
            <w:shd w:fill="FFFFFF" w:color="auto" w:val="clear"/>
            <w:tcMar>
              <w:top w:type="dxa" w:w="70"/>
              <w:left w:type="dxa" w:w="100"/>
              <w:bottom w:type="dxa" w:w="70"/>
              <w:right w:type="dxa" w:w="100"/>
            </w:tcMar>
            <w:vAlign w:val="top"/>
          </w:tcPr>
          <w:p>
            <w:pPr>
              <w:spacing w:after="0" w:before="0" w:line="252"/>
            </w:pPr>
          </w:p>
        </w:tc>
        <w:tc>
          <w:tcPr>
            <w:tcW w:type="dxa" w:w="1072"/>
            <w:shd w:fill="FFFFFF" w:color="auto" w:val="clear"/>
            <w:tcMar>
              <w:top w:type="dxa" w:w="70"/>
              <w:left w:type="dxa" w:w="100"/>
              <w:bottom w:type="dxa" w:w="70"/>
              <w:right w:type="dxa" w:w="100"/>
            </w:tcMar>
            <w:vAlign w:val="top"/>
          </w:tcPr>
          <w:p>
            <w:pPr>
              <w:spacing w:after="0" w:before="0" w:line="252"/>
            </w:pPr>
          </w:p>
        </w:tc>
        <w:tc>
          <w:tcPr>
            <w:tcW w:type="dxa" w:w="1461"/>
            <w:shd w:fill="FFFFFF" w:color="auto" w:val="clear"/>
            <w:tcMar>
              <w:top w:type="dxa" w:w="70"/>
              <w:left w:type="dxa" w:w="100"/>
              <w:bottom w:type="dxa" w:w="70"/>
              <w:right w:type="dxa" w:w="100"/>
            </w:tcMar>
            <w:vAlign w:val="top"/>
          </w:tcPr>
          <w:p>
            <w:pPr>
              <w:spacing w:after="0" w:before="0" w:line="252"/>
            </w:pPr>
          </w:p>
        </w:tc>
        <w:tc>
          <w:tcPr>
            <w:tcW w:type="dxa" w:w="1461"/>
            <w:shd w:fill="FFFFFF" w:color="auto" w:val="clear"/>
            <w:tcMar>
              <w:top w:type="dxa" w:w="70"/>
              <w:left w:type="dxa" w:w="100"/>
              <w:bottom w:type="dxa" w:w="70"/>
              <w:right w:type="dxa" w:w="100"/>
            </w:tcMar>
            <w:vAlign w:val="top"/>
          </w:tcPr>
          <w:p>
            <w:pPr>
              <w:spacing w:after="0" w:before="0" w:line="252"/>
            </w:pPr>
          </w:p>
        </w:tc>
        <w:tc>
          <w:tcPr>
            <w:tcW w:type="dxa" w:w="1855"/>
            <w:shd w:fill="FFFFFF" w:color="auto" w:val="clear"/>
            <w:tcMar>
              <w:top w:type="dxa" w:w="70"/>
              <w:left w:type="dxa" w:w="100"/>
              <w:bottom w:type="dxa" w:w="70"/>
              <w:right w:type="dxa" w:w="100"/>
            </w:tcMar>
            <w:vAlign w:val="top"/>
          </w:tcPr>
          <w:p>
            <w:pPr>
              <w:spacing w:after="0" w:before="0" w:line="252"/>
            </w:pPr>
          </w:p>
        </w:tc>
      </w:tr>
      <w:tr>
        <w:trPr>
          <w:cantSplit/>
        </w:trPr>
        <w:tc>
          <w:tcPr>
            <w:tcW w:type="dxa" w:w="1266"/>
            <w:shd w:fill="F2F4F6" w:color="auto" w:val="clear"/>
            <w:tcMar>
              <w:top w:type="dxa" w:w="70"/>
              <w:left w:type="dxa" w:w="100"/>
              <w:bottom w:type="dxa" w:w="70"/>
              <w:right w:type="dxa" w:w="100"/>
            </w:tcMar>
            <w:vAlign w:val="top"/>
          </w:tcPr>
          <w:p>
            <w:pPr>
              <w:spacing w:after="0" w:before="0" w:line="252"/>
            </w:pPr>
          </w:p>
        </w:tc>
        <w:tc>
          <w:tcPr>
            <w:tcW w:type="dxa" w:w="2631"/>
            <w:shd w:fill="F2F4F6" w:color="auto" w:val="clear"/>
            <w:tcMar>
              <w:top w:type="dxa" w:w="70"/>
              <w:left w:type="dxa" w:w="100"/>
              <w:bottom w:type="dxa" w:w="70"/>
              <w:right w:type="dxa" w:w="100"/>
            </w:tcMar>
            <w:vAlign w:val="top"/>
          </w:tcPr>
          <w:p>
            <w:pPr>
              <w:spacing w:after="0" w:before="0" w:line="252"/>
            </w:pPr>
          </w:p>
        </w:tc>
        <w:tc>
          <w:tcPr>
            <w:tcW w:type="dxa" w:w="1072"/>
            <w:shd w:fill="F2F4F6" w:color="auto" w:val="clear"/>
            <w:tcMar>
              <w:top w:type="dxa" w:w="70"/>
              <w:left w:type="dxa" w:w="100"/>
              <w:bottom w:type="dxa" w:w="70"/>
              <w:right w:type="dxa" w:w="100"/>
            </w:tcMar>
            <w:vAlign w:val="top"/>
          </w:tcPr>
          <w:p>
            <w:pPr>
              <w:spacing w:after="0" w:before="0" w:line="252"/>
            </w:pPr>
          </w:p>
        </w:tc>
        <w:tc>
          <w:tcPr>
            <w:tcW w:type="dxa" w:w="1461"/>
            <w:shd w:fill="F2F4F6" w:color="auto" w:val="clear"/>
            <w:tcMar>
              <w:top w:type="dxa" w:w="70"/>
              <w:left w:type="dxa" w:w="100"/>
              <w:bottom w:type="dxa" w:w="70"/>
              <w:right w:type="dxa" w:w="100"/>
            </w:tcMar>
            <w:vAlign w:val="top"/>
          </w:tcPr>
          <w:p>
            <w:pPr>
              <w:spacing w:after="0" w:before="0" w:line="252"/>
            </w:pPr>
          </w:p>
        </w:tc>
        <w:tc>
          <w:tcPr>
            <w:tcW w:type="dxa" w:w="1461"/>
            <w:shd w:fill="F2F4F6" w:color="auto" w:val="clear"/>
            <w:tcMar>
              <w:top w:type="dxa" w:w="70"/>
              <w:left w:type="dxa" w:w="100"/>
              <w:bottom w:type="dxa" w:w="70"/>
              <w:right w:type="dxa" w:w="100"/>
            </w:tcMar>
            <w:vAlign w:val="top"/>
          </w:tcPr>
          <w:p>
            <w:pPr>
              <w:spacing w:after="0" w:before="0" w:line="252"/>
            </w:pPr>
          </w:p>
        </w:tc>
        <w:tc>
          <w:tcPr>
            <w:tcW w:type="dxa" w:w="1855"/>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5" w:id="1"/>
      <w:r>
        <w:t xml:space="preserve">Appendix G.  Guidance for running the test in common mail platforms</w:t>
      </w:r>
      <w:bookmarkEnd w:id="1"/>
    </w:p>
    <w:p>
      <w:pPr>
        <w:spacing w:after="130" w:line="262"/>
      </w:pPr>
      <w:r>
        <w:t xml:space="preserve">This appendix is guidance, not requirement. It describes in general terms how common mail platforms provide the capabilities the procedure depends on, with examples from two widely used platforms where the vendor documentation has been checked. Menu names and licensing change; confirm against the current vendor documentation before relying on any of it.</w:t>
      </w:r>
    </w:p>
    <w:p>
      <w:pPr>
        <w:keepNext/>
        <w:spacing w:after="70" w:before="180"/>
      </w:pPr>
      <w:r>
        <w:rPr>
          <w:b/>
          <w:bCs/>
          <w:color w:val="15314B"/>
          <w:sz w:val="19"/>
          <w:szCs w:val="19"/>
        </w:rPr>
        <w:t xml:space="preserve">Delivering a simulation without weakening protection</w:t>
      </w:r>
    </w:p>
    <w:p>
      <w:pPr>
        <w:spacing w:after="130" w:line="262"/>
      </w:pPr>
      <w:r>
        <w:t xml:space="preserve">Most enterprise mail platforms provide a specific mechanism for third-party phishing simulations that tells the filtering stack to deliver matching messages untouched. Use it in preference to broad allow rules, transport rules that skip filtering, or switching off link rewriting, because those also let real mail through. In Microsoft 365 with Defender for Office 365, for example, this is the advanced delivery policy: you supply the simulation sender's domain and sending IP addresses, and Microsoft's documentation states that at least one domain and one IP must match for the policy to apply. The same documentation notes that adding simulation URLs to the Safe Links do-not-rewrite list can cause unwanted alerts, and that simulation URLs in email are allowed automatically under the policy.</w:t>
      </w:r>
    </w:p>
    <w:p>
      <w:pPr>
        <w:spacing w:after="130" w:line="262"/>
      </w:pPr>
      <w:r>
        <w:t xml:space="preserve">Be aware of a side effect that matters for this procedure. Microsoft's documentation states that when a message matched by the advanced delivery policy is reported by a user, no alert, investigation or incident is generated. If your responders rely on those alerts to notice reports, the simulation will measure staff reporting but not the responder half of the route. That is the reason the procedure tests the responder half with a planted report that is not configured as a simulation.</w:t>
      </w:r>
    </w:p>
    <w:p>
      <w:pPr>
        <w:keepNext/>
        <w:spacing w:after="70" w:before="180"/>
      </w:pPr>
      <w:r>
        <w:rPr>
          <w:b/>
          <w:bCs/>
          <w:color w:val="15314B"/>
          <w:sz w:val="19"/>
          <w:szCs w:val="19"/>
        </w:rPr>
        <w:t xml:space="preserve">Making the reporting destination fit for purpose</w:t>
      </w:r>
    </w:p>
    <w:p>
      <w:pPr>
        <w:spacing w:after="130" w:line="262"/>
      </w:pPr>
      <w:r>
        <w:t xml:space="preserve">Whatever the platform, check three things about where reports land: it is a real monitored mailbox or queue rather than a distribution list, it is excluded from spam and data loss prevention filtering so reports are not quarantined, and reports arrive with the original message attached intact. Microsoft's documentation for user reported settings requires the reporting mailbox to be an Exchange Online mailbox, not a distribution group or external address, and recommends configuring it as a SecOps mailbox so reported messages are not filtered and excluding it from data loss prevention. It also notes that without that configuration a reported message can trigger a training assignment by a simulation product. The same settings let you choose whether reports go to Microsoft, to your reporting mailbox, or to both; if the choice excludes your mailbox, nobody in your organization sees the report unless they look in the portal.</w:t>
      </w:r>
    </w:p>
    <w:p>
      <w:pPr>
        <w:spacing w:after="130" w:line="262"/>
      </w:pPr>
      <w:r>
        <w:t xml:space="preserve">Check the report button on every client. Microsoft documents the built-in Report button for desktop Outlook from specific builds, Outlook for Mac, iOS and Android from specific versions, the new Outlook for Windows and Outlook on the web, and notes that reporting from a shared mailbox by a delegate requires Send As permission, without which the message is removed from the folder but never reaches the reporting mailbox. That is precisely the kind of failure a planted report from each client finds and a configuration review misses.</w:t>
      </w:r>
    </w:p>
    <w:p>
      <w:pPr>
        <w:spacing w:after="130" w:line="262"/>
      </w:pPr>
      <w:r>
        <w:t xml:space="preserve">If staff report by forwarding to an address, tell them to forward as an attachment where the client allows it. A plain forward strips the headers responders need to find other copies.</w:t>
      </w:r>
    </w:p>
    <w:p>
      <w:pPr>
        <w:keepNext/>
        <w:spacing w:after="70" w:before="180"/>
      </w:pPr>
      <w:r>
        <w:rPr>
          <w:b/>
          <w:bCs/>
          <w:color w:val="15314B"/>
          <w:sz w:val="19"/>
          <w:szCs w:val="19"/>
        </w:rPr>
        <w:t xml:space="preserve">Search and removal across mailboxes</w:t>
      </w:r>
    </w:p>
    <w:p>
      <w:pPr>
        <w:spacing w:after="130" w:line="262"/>
      </w:pPr>
      <w:r>
        <w:t xml:space="preserve">Confirm that your licensing actually includes organization-wide removal. In Microsoft 365, the remediation actions in Threat Explorer and Advanced hunting, which include moving to junk, soft delete and hard delete across mailboxes, are documented as applying to Defender for Office 365 Plan 2, and approving those actions requires the Search and Purge role or an equivalent permission. Organizations on lower plans have other, slower routes to the same result, and the route test will show how long they take.</w:t>
      </w:r>
    </w:p>
    <w:p>
      <w:pPr>
        <w:spacing w:after="130" w:line="262"/>
      </w:pPr>
      <w:r>
        <w:t xml:space="preserve">In Google Workspace, the security investigation tool can search Gmail messages and delete them from users' inboxes; Google documents it as available in Enterprise Plus, Frontline Plus and Education Standard and Plus editions, and it requires the Security center administrator privilege. Google also notes that deleted messages remain subject to Vault retention rules and holds.</w:t>
      </w:r>
    </w:p>
    <w:p>
      <w:pPr>
        <w:spacing w:after="130" w:line="262"/>
      </w:pPr>
      <w:r>
        <w:t xml:space="preserve">Whatever the platform, the planted report test should end with a count of copies removed against copies delivered. A responder who can delete only the reporter's copy has not contained anything.</w:t>
      </w:r>
    </w:p>
    <w:p>
      <w:pPr>
        <w:keepNext/>
        <w:spacing w:after="70" w:before="180"/>
      </w:pPr>
      <w:r>
        <w:rPr>
          <w:b/>
          <w:bCs/>
          <w:color w:val="15314B"/>
          <w:sz w:val="19"/>
          <w:szCs w:val="19"/>
        </w:rPr>
        <w:t xml:space="preserve">Credentials and sessions</w:t>
      </w:r>
    </w:p>
    <w:p>
      <w:pPr>
        <w:spacing w:after="130" w:line="262"/>
      </w:pPr>
      <w:r>
        <w:t xml:space="preserve">Resetting a password does not by itself end sessions already established with the stolen password. In Microsoft Entra ID, revoking a user's sessions invalidates refresh tokens, but access tokens already issued remain valid until they expire, an hour by default, unless the application supports continuous access evaluation; Microsoft also states that Entra ID cannot directly revoke session cookies issued by an application. Include both the reset and the revocation in the planted test, and check the exposed test account for persistence afterward.</w:t>
      </w:r>
    </w:p>
    <w:p>
      <w:pPr>
        <w:keepNext/>
        <w:spacing w:after="70" w:before="180"/>
      </w:pPr>
      <w:r>
        <w:rPr>
          <w:b/>
          <w:bCs/>
          <w:color w:val="15314B"/>
          <w:sz w:val="19"/>
          <w:szCs w:val="19"/>
        </w:rPr>
        <w:t xml:space="preserve">Simulation platforms and their report buttons</w:t>
      </w:r>
    </w:p>
    <w:p>
      <w:pPr>
        <w:spacing w:after="130" w:line="262"/>
      </w:pPr>
      <w:r>
        <w:t xml:space="preserve">Many simulation products ship their own report button. If you deploy it, make sure it sends real reports to the real destination, not only to the simulation vendor's console, and do not run it alongside the mail platform's own button: Microsoft's documentation warns that running both creates duplicate submissions. The test only means something if staff use the channel they would use for a real phishing email.</w:t>
      </w:r>
    </w:p>
    <w:p>
      <w:pPr>
        <w:keepNext/>
        <w:spacing w:after="70" w:before="180"/>
      </w:pPr>
      <w:r>
        <w:rPr>
          <w:b/>
          <w:bCs/>
          <w:color w:val="15314B"/>
          <w:sz w:val="19"/>
          <w:szCs w:val="19"/>
        </w:rPr>
        <w:t xml:space="preserve">A practical first cycle</w:t>
      </w:r>
    </w:p>
    <w:p>
      <w:pPr>
        <w:pStyle w:val="ListParagraph"/>
        <w:numPr>
          <w:ilvl w:val="0"/>
          <w:numId w:val="8"/>
        </w:numPr>
        <w:spacing w:after="60" w:line="262"/>
      </w:pPr>
      <w:r>
        <w:t xml:space="preserve">Map the route using Appendix B, looking at the configuration rather than asking about it.</w:t>
      </w:r>
    </w:p>
    <w:p>
      <w:pPr>
        <w:pStyle w:val="ListParagraph"/>
        <w:numPr>
          <w:ilvl w:val="0"/>
          <w:numId w:val="8"/>
        </w:numPr>
        <w:spacing w:after="60" w:line="262"/>
      </w:pPr>
      <w:r>
        <w:t xml:space="preserve">Run one working-hours planted report from a desktop client and one from a phone. Most organizations find their first finding here.</w:t>
      </w:r>
    </w:p>
    <w:p>
      <w:pPr>
        <w:pStyle w:val="ListParagraph"/>
        <w:numPr>
          <w:ilvl w:val="0"/>
          <w:numId w:val="8"/>
        </w:numPr>
        <w:spacing w:after="60" w:line="262"/>
      </w:pPr>
      <w:r>
        <w:t xml:space="preserve">Fix what failed and retest.</w:t>
      </w:r>
    </w:p>
    <w:p>
      <w:pPr>
        <w:pStyle w:val="ListParagraph"/>
        <w:numPr>
          <w:ilvl w:val="0"/>
          <w:numId w:val="8"/>
        </w:numPr>
        <w:spacing w:after="60" w:line="262"/>
      </w:pPr>
      <w:r>
        <w:t xml:space="preserve">Run one out-of-hours planted report on a Friday evening.</w:t>
      </w:r>
    </w:p>
    <w:p>
      <w:pPr>
        <w:pStyle w:val="ListParagraph"/>
        <w:numPr>
          <w:ilvl w:val="0"/>
          <w:numId w:val="8"/>
        </w:numPr>
        <w:spacing w:after="60" w:line="262"/>
      </w:pPr>
      <w:r>
        <w:t xml:space="preserve">Only then run a staff simulation with two scenarios, one Least difficult and one Moderately difficult, and report reporting rate and time to containment first.</w:t>
      </w:r>
    </w:p>
    <w:p>
      <w:pPr>
        <w:pStyle w:val="Heading1"/>
        <w:keepNext/>
        <w:keepLines/>
        <w:pageBreakBefore/>
        <w:pBdr>
          <w:bottom w:val="single" w:color="D4DAE0" w:sz="4" w:space="4"/>
        </w:pBdr>
        <w:spacing w:after="140" w:before="300"/>
      </w:pPr>
      <w:bookmarkStart w:name="_RG0046" w:id="1"/>
      <w:r>
        <w:t xml:space="preserve">Glossary</w:t>
      </w:r>
      <w:bookmarkEnd w:id="1"/>
    </w:p>
    <w:p>
      <w:pPr>
        <w:pStyle w:val="Heading2"/>
        <w:keepNext/>
        <w:keepLines/>
        <w:spacing w:after="90" w:before="220"/>
      </w:pPr>
      <w:bookmarkStart w:name="_RG0047" w:id="1"/>
      <w:r>
        <w:t xml:space="preserve">Acronyms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144"/>
        <w:gridCol w:w="7602"/>
      </w:tblGrid>
      <w:tr>
        <w:trPr>
          <w:cantSplit/>
          <w:tblHeader/>
        </w:trPr>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Acronym</w:t>
            </w:r>
          </w:p>
        </w:tc>
        <w:tc>
          <w:tcPr>
            <w:tcW w:type="dxa" w:w="760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Meaning</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AIR</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Automated investigation and response</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CAE</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Continuous access evaluation</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DLP</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Data loss prevention</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HR</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Human resources</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IP</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Internet Protocol</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MFA</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Multi-factor authentication</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NIST</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National Institute of Standards and Technology</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SecOps</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Security operations</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SP</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Special Publication</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TN</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Technical Note</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URL</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Uniform resource locator</w:t>
            </w:r>
          </w:p>
        </w:tc>
      </w:tr>
    </w:tbl>
    <w:p>
      <w:pPr>
        <w:spacing w:after="120" w:line="120"/>
      </w:pPr>
      <w:r>
        <w:rPr>
          <w:sz w:val="4"/>
          <w:szCs w:val="4"/>
        </w:rPr>
        <w:t xml:space="preserve"/>
      </w:r>
    </w:p>
    <w:p>
      <w:pPr>
        <w:pStyle w:val="Heading2"/>
        <w:keepNext/>
        <w:keepLines/>
        <w:spacing w:after="90" w:before="220"/>
      </w:pPr>
      <w:bookmarkStart w:name="_RG0048" w:id="1"/>
      <w:r>
        <w:t xml:space="preserve">Definitions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533"/>
        <w:gridCol w:w="7213"/>
      </w:tblGrid>
      <w:tr>
        <w:trPr>
          <w:cantSplit/>
          <w:tblHeader/>
        </w:trPr>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Term</w:t>
            </w:r>
          </w:p>
        </w:tc>
        <w:tc>
          <w:tcPr>
            <w:tcW w:type="dxa" w:w="72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Definition</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Containment action</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An action that limits the effect of a phishing email across the organization: removal from all mailboxes, blocking of sender and indicators, credential reset and session revocation for affected accounts, and a staff warning.</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Containment coverage</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number of copies of a message removed by a containment action divided by the number delivered.</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Deconfliction contact</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The member of the white cell who confirms a test is in progress only when a responder is about to take action outside the organization.</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Delivered recipients (D)</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In-scope recipients whose mailbox received a scenario, taken from message trace. The denominator for every rate in this procedure.</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Detection difficulty</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rating of how hard a phishing email is for a person to recognize, derived with the NIST Phish Scale from the cue count and premise alignment.</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Exposed account</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A test account whose credentials the planted report states were entered on a phishing page, used to test credential reset and session revocation.</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Exposure before containment</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Unique recipients who clicked before removal from all mailboxes completed, divided by delivered recipients.</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Hop</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One stage of the reporting route through which a report must pass to produce an action.</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Planted report</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report of a test message made from a known test account through a sanctioned channel, used to test the reporting route without involving staff.</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Premise alignment</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How closely the premise of a phishing email matches the work and expectations of the people receiving it.</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Reporting route</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The chain from the channel a member of staff uses to report a suspicious email, through the destination, monitoring, triage and containment actions, to feedback to the reporter.</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Repeat clicker</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A member of staff who clicked in two consecutive simulation cycles at the same or lower difficulty. Held privately and used only to offer support.</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Sanctioned channel</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reporting channel staff have been told in writing to use for suspicious email.</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Session revocation</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Invalidation, in the identity provider, of tokens that allow an existing session to continue or obtain new access without signing in again.</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White cell</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The small group that knows a test is running: the test lead, the senior sponsor and the deconfliction contact.</w:t>
            </w:r>
          </w:p>
        </w:tc>
      </w:tr>
    </w:tbl>
    <w:p>
      <w:pPr>
        <w:spacing w:after="120" w:line="120"/>
      </w:pPr>
      <w:r>
        <w:rPr>
          <w:sz w:val="4"/>
          <w:szCs w:val="4"/>
        </w:rPr>
        <w:t xml:space="preserve"/>
      </w:r>
    </w:p>
    <w:p>
      <w:pPr>
        <w:pStyle w:val="Heading1"/>
        <w:keepNext/>
        <w:keepLines/>
        <w:pBdr>
          <w:bottom w:val="single" w:color="D4DAE0" w:sz="4" w:space="4"/>
        </w:pBdr>
        <w:spacing w:after="140" w:before="300"/>
      </w:pPr>
      <w:bookmarkStart w:name="_RG0049" w:id="1"/>
      <w:r>
        <w:t xml:space="preserve">Record of changes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169"/>
        <w:gridCol w:w="1754"/>
        <w:gridCol w:w="4483"/>
        <w:gridCol w:w="2340"/>
      </w:tblGrid>
      <w:tr>
        <w:trPr>
          <w:cantSplit/>
          <w:tblHeader/>
        </w:trPr>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Version</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Date</w:t>
            </w:r>
          </w:p>
        </w:tc>
        <w:tc>
          <w:tcPr>
            <w:tcW w:type="dxa" w:w="448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Description of change</w:t>
            </w:r>
          </w:p>
        </w:tc>
        <w:tc>
          <w:tcPr>
            <w:tcW w:type="dxa" w:w="234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Approved by</w:t>
            </w:r>
          </w:p>
        </w:tc>
      </w:tr>
      <w:tr>
        <w:trPr>
          <w:cantSplit/>
        </w:trPr>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1.0</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October 2026</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First issue.</w:t>
            </w:r>
          </w:p>
        </w:tc>
        <w:tc>
          <w:tcPr>
            <w:tcW w:type="dxa" w:w="2340"/>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sectPr>
      <w:headerReference w:type="default" r:id="rId7"/>
      <w:headerReference w:type="first" r:id="rId8"/>
      <w:footerReference w:type="default" r:id="rId9"/>
      <w:footerReference w:type="first" r:id="rId10"/>
      <w:pgSz w:w="11906" w:h="16838" w:orient="portrait"/>
      <w:pgMar w:top="1080" w:right="1080" w:bottom="100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GFooter"/>
      <w:pBdr>
        <w:top w:val="single" w:color="D4DAE0" w:sz="4" w:space="4"/>
      </w:pBdr>
      <w:tabs>
        <w:tab w:val="right" w:pos="9746"/>
      </w:tabs>
    </w:pPr>
    <w:r>
      <w:rPr>
        <w:color w:val="60686F"/>
        <w:sz w:val="14"/>
        <w:szCs w:val="14"/>
      </w:rPr>
      <w:t xml:space="preserve">Doc ID: PRO-PHR-001</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Classification: Internal Use</w:t>
    </w:r>
    <w:r>
      <w:rPr>
        <w:color w:val="60686F"/>
        <w:sz w:val="14"/>
        <w:szCs w:val="14"/>
      </w:rPr>
      <w:t xml:space="preserve">	Page </w:t>
    </w:r>
    <w:r>
      <w:fldChar w:fldCharType="begin"/>
      <w:instrText xml:space="preserve">PAGE</w:instrText>
      <w:fldChar w:fldCharType="separate"/>
      <w:fldChar w:fldCharType="end"/>
    </w:r>
    <w:r>
      <w:rPr>
        <w:color w:val="60686F"/>
        <w:sz w:val="14"/>
        <w:szCs w:val="14"/>
      </w:rPr>
      <w:t xml:space="preserve"> of </w:t>
    </w:r>
    <w: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GFooter"/>
      <w:pBdr>
        <w:top w:val="single" w:color="D4DAE0" w:sz="4" w:space="4"/>
      </w:pBdr>
      <w:tabs>
        <w:tab w:val="right" w:pos="9746"/>
      </w:tabs>
    </w:pPr>
    <w:r>
      <w:rPr>
        <w:color w:val="60686F"/>
        <w:sz w:val="14"/>
        <w:szCs w:val="14"/>
      </w:rPr>
      <w:t xml:space="preserve">Doc ID: PRO-PHR-001</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Classification: Internal Use</w:t>
    </w:r>
    <w:r>
      <w:rPr>
        <w:color w:val="60686F"/>
        <w:sz w:val="14"/>
        <w:szCs w:val="14"/>
      </w:rPr>
      <w:t xml:space="preserve">	Page </w:t>
    </w:r>
    <w:r>
      <w:fldChar w:fldCharType="begin"/>
      <w:instrText xml:space="preserve">PAGE</w:instrText>
      <w:fldChar w:fldCharType="separate"/>
      <w:fldChar w:fldCharType="end"/>
    </w:r>
    <w:r>
      <w:rPr>
        <w:color w:val="60686F"/>
        <w:sz w:val="14"/>
        <w:szCs w:val="14"/>
      </w:rP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DAE0" w:sz="4" w:space="4"/>
      </w:pBdr>
    </w:pPr>
    <w:r>
      <w:rPr>
        <w:color w:val="60686F"/>
        <w:sz w:val="14"/>
        <w:szCs w:val="14"/>
      </w:rPr>
      <w:t xml:space="preserve">[Company Logo]</w:t>
    </w:r>
    <w:r>
      <w:rPr>
        <w:color w:val="60686F"/>
        <w:sz w:val="14"/>
        <w:szCs w:val="14"/>
      </w:rPr>
      <w:t xml:space="preserve">   ·   </w:t>
    </w:r>
    <w:r>
      <w:rPr>
        <w:color w:val="60686F"/>
        <w:sz w:val="14"/>
        <w:szCs w:val="14"/>
      </w:rPr>
      <w:t xml:space="preserve">PRO-PHR-001</w:t>
    </w:r>
    <w:r>
      <w:rPr>
        <w:color w:val="60686F"/>
        <w:sz w:val="14"/>
        <w:szCs w:val="14"/>
      </w:rPr>
      <w:t xml:space="preserve">   ·   </w:t>
    </w:r>
    <w:r>
      <w:rPr>
        <w:color w:val="60686F"/>
        <w:sz w:val="14"/>
        <w:szCs w:val="14"/>
      </w:rPr>
      <w:t xml:space="preserve">Phishing Reporting Route Test</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Internal Use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DAE0" w:sz="4" w:space="4"/>
      </w:pBdr>
    </w:pPr>
    <w:r>
      <w:rPr>
        <w:i/>
        <w:iCs/>
        <w:color w:val="60686F"/>
        <w:sz w:val="14"/>
        <w:szCs w:val="14"/>
      </w:rPr>
      <w:t xml:space="preserve">This document and all information contained herein is the property of [Organization Name] and is intended for internal use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A30"/>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RGFooter">
    <w:name w:val="RG Footer"/>
    <w:basedOn w:val="Normal"/>
    <w:rPr>
      <w:rFonts w:ascii="Arial" w:cs="Arial" w:eastAsia="Arial" w:hAnsi="Arial"/>
      <w:color w:val="60686F"/>
      <w:sz w:val="14"/>
      <w:szCs w:val="14"/>
    </w:rPr>
  </w:style>
  <w:style w:type="paragraph" w:styleId="Heading1">
    <w:name w:val="Heading 1"/>
    <w:basedOn w:val="Normal"/>
    <w:next w:val="Normal"/>
    <w:qFormat/>
    <w:pPr>
      <w:outlineLvl w:val="0"/>
    </w:pPr>
    <w:rPr>
      <w:rFonts w:ascii="Arial" w:cs="Arial" w:eastAsia="Arial" w:hAnsi="Arial"/>
      <w:b/>
      <w:bCs/>
      <w:color w:val="15314B"/>
      <w:sz w:val="27"/>
      <w:szCs w:val="27"/>
    </w:rPr>
  </w:style>
  <w:style w:type="paragraph" w:styleId="Heading2">
    <w:name w:val="Heading 2"/>
    <w:basedOn w:val="Normal"/>
    <w:next w:val="Normal"/>
    <w:qFormat/>
    <w:pPr>
      <w:outlineLvl w:val="1"/>
    </w:pPr>
    <w:rPr>
      <w:rFonts w:ascii="Arial" w:cs="Arial" w:eastAsia="Arial" w:hAnsi="Arial"/>
      <w:b/>
      <w:bCs/>
      <w:color w:val="2E5C7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Phishing Reporting Route Test</dc:title>
  <dc:subject>PRO-PHR-001</dc:subject>
  <dc:creator>RootGuard Security</dc:creator>
  <dc:description>Phishing Reporting Route Test. Prove that a reported phishing email reaches somebody who acts on it. Free to use and to share.</dc:description>
  <cp:lastModifiedBy>RootGuard Security</cp:lastModifiedBy>
  <cp:revision>1</cp:revision>
  <dcterms:created xsi:type="dcterms:W3CDTF">2026-10-16T13:28:33.551Z</dcterms:created>
  <dcterms:modified xsi:type="dcterms:W3CDTF">2026-10-16T13:28:33.552Z</dcterms:modified>
</cp:coreProperties>
</file>

<file path=docProps/custom.xml><?xml version="1.0" encoding="utf-8"?>
<Properties xmlns="http://schemas.openxmlformats.org/officeDocument/2006/custom-properties" xmlns:vt="http://schemas.openxmlformats.org/officeDocument/2006/docPropsVTypes"/>
</file>