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6600"/>
        <w:tblBorders>
          <w:top w:val="none" w:color="auto" w:sz="0"/>
          <w:left w:val="none" w:color="auto" w:sz="0"/>
          <w:bottom w:val="none" w:color="auto" w:sz="0"/>
          <w:right w:val="none" w:color="auto" w:sz="0"/>
          <w:insideH w:val="none" w:color="auto" w:sz="0"/>
          <w:insideV w:val="none" w:color="auto" w:sz="0"/>
        </w:tblBorders>
      </w:tblPr>
      <w:tblGrid>
        <w:gridCol w:w="6600"/>
      </w:tblGrid>
      <w:tr>
        <w:tc>
          <w:tcPr>
            <w:tcW w:type="dxa" w:w="6600"/>
            <w:shd w:fill="15314B" w:color="auto" w:val="clear"/>
            <w:tcMar>
              <w:top w:type="dxa" w:w="500"/>
              <w:left w:type="dxa" w:w="360"/>
              <w:bottom w:type="dxa" w:w="420"/>
              <w:right w:type="dxa" w:w="360"/>
            </w:tcMar>
          </w:tcPr>
          <w:p>
            <w:pPr>
              <w:spacing w:after="420"/>
            </w:pPr>
            <w:r>
              <w:rPr>
                <w:color w:val="9DB0C0"/>
                <w:sz w:val="16"/>
                <w:szCs w:val="16"/>
              </w:rPr>
              <w:t xml:space="preserve">[Company Logo]</w:t>
            </w:r>
          </w:p>
          <w:p>
            <w:pPr>
              <w:spacing w:after="140"/>
            </w:pPr>
            <w:r>
              <w:rPr>
                <w:b/>
                <w:bCs/>
                <w:color w:val="FFFFFF"/>
                <w:sz w:val="46"/>
                <w:szCs w:val="46"/>
              </w:rPr>
              <w:t xml:space="preserve">Data Protection Impact Assessment Template</w:t>
            </w:r>
          </w:p>
          <w:p>
            <w:pPr>
              <w:spacing w:after="300"/>
            </w:pPr>
            <w:r>
              <w:rPr>
                <w:color w:val="C6D4DF"/>
                <w:sz w:val="22"/>
                <w:szCs w:val="22"/>
              </w:rPr>
              <w:t xml:space="preserve">Assess processing before it starts, and record who accepted the risk</w:t>
            </w:r>
          </w:p>
          <w:p>
            <w:pPr>
              <w:pBdr>
                <w:bottom w:val="single" w:color="C2551D" w:sz="16" w:space="0"/>
              </w:pBdr>
              <w:spacing w:after="230"/>
            </w:pPr>
          </w:p>
          <w:p>
            <w:r>
              <w:rPr>
                <w:b/>
                <w:bCs/>
                <w:color w:val="FFFFFF"/>
              </w:rPr>
              <w:t xml:space="preserve">[Organization Name]</w:t>
            </w:r>
            <w:r>
              <w:t xml:space="preserve">          </w:t>
            </w:r>
            <w:r>
              <w:rPr>
                <w:color w:val="9DB0C0"/>
                <w:sz w:val="18"/>
                <w:szCs w:val="18"/>
              </w:rPr>
              <w:t xml:space="preserve">Classification: Internal Use</w:t>
            </w:r>
          </w:p>
        </w:tc>
      </w:tr>
    </w:tbl>
    <w:p>
      <w:pPr>
        <w:spacing w:after="420"/>
      </w:pPr>
    </w:p>
    <w:tbl>
      <w:tblPr>
        <w:tblW w:type="dxa" w:w="6600"/>
        <w:tblBorders>
          <w:top w:val="single" w:color="D4DAE0" w:sz="4"/>
          <w:left w:val="single" w:color="D4DAE0" w:sz="4"/>
          <w:bottom w:val="single" w:color="D4DAE0" w:sz="4"/>
          <w:right w:val="single" w:color="D4DAE0" w:sz="4"/>
          <w:insideH w:val="single" w:color="D4DAE0" w:sz="4"/>
          <w:insideV w:val="single" w:color="D4DAE0" w:sz="4"/>
        </w:tblBorders>
      </w:tblPr>
      <w:tblGrid>
        <w:gridCol w:w="1900"/>
        <w:gridCol w:w="4700"/>
      </w:tblGrid>
      <w:tr>
        <w:tc>
          <w:tcPr>
            <w:tcW w:type="dxa" w:w="19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70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Detail</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Document ID</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TMP-DPI-001</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title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Data Protection Impact Assessment Template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Version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1.0</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Status</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[Draft / Approved]</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Effective date</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Document owner</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[Owner Name, Role]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Approved by</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[Approver Name, Role]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Approval date</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[Date]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Next review</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[Date, no more than 12 months from effective date]</w:t>
            </w:r>
          </w:p>
        </w:tc>
      </w:tr>
      <w:tr>
        <w:tc>
          <w:tcPr>
            <w:tcW w:type="dxa" w:w="1900"/>
            <w:shd w:fill="FFFFFF" w:color="auto" w:val="clear"/>
            <w:tcMar>
              <w:top w:type="dxa" w:w="70"/>
              <w:left w:type="dxa" w:w="100"/>
              <w:bottom w:type="dxa" w:w="70"/>
              <w:right w:type="dxa" w:w="100"/>
            </w:tcMar>
            <w:vAlign w:val="top"/>
          </w:tcPr>
          <w:p>
            <w:pPr>
              <w:spacing w:after="0" w:before="0" w:line="252"/>
            </w:pPr>
            <w:r>
              <w:rPr>
                <w:b/>
                <w:bCs/>
                <w:sz w:val="17"/>
                <w:szCs w:val="17"/>
              </w:rPr>
              <w:t xml:space="preserve">Classification</w:t>
            </w:r>
          </w:p>
        </w:tc>
        <w:tc>
          <w:tcPr>
            <w:tcW w:type="dxa" w:w="4700"/>
            <w:shd w:fill="FFFFFF" w:color="auto" w:val="clear"/>
            <w:tcMar>
              <w:top w:type="dxa" w:w="70"/>
              <w:left w:type="dxa" w:w="100"/>
              <w:bottom w:type="dxa" w:w="70"/>
              <w:right w:type="dxa" w:w="100"/>
            </w:tcMar>
            <w:vAlign w:val="top"/>
          </w:tcPr>
          <w:p>
            <w:pPr>
              <w:spacing w:after="0" w:before="0" w:line="252"/>
            </w:pPr>
            <w:r>
              <w:rPr>
                <w:sz w:val="17"/>
                <w:szCs w:val="17"/>
              </w:rPr>
              <w:t xml:space="preserve">Internal Use</w:t>
            </w:r>
          </w:p>
        </w:tc>
      </w:tr>
      <w:tr>
        <w:tc>
          <w:tcPr>
            <w:tcW w:type="dxa" w:w="1900"/>
            <w:shd w:fill="F2F4F6" w:color="auto" w:val="clear"/>
            <w:tcMar>
              <w:top w:type="dxa" w:w="70"/>
              <w:left w:type="dxa" w:w="100"/>
              <w:bottom w:type="dxa" w:w="70"/>
              <w:right w:type="dxa" w:w="100"/>
            </w:tcMar>
            <w:vAlign w:val="top"/>
          </w:tcPr>
          <w:p>
            <w:pPr>
              <w:spacing w:after="0" w:before="0" w:line="252"/>
            </w:pPr>
            <w:r>
              <w:rPr>
                <w:b/>
                <w:bCs/>
                <w:sz w:val="17"/>
                <w:szCs w:val="17"/>
              </w:rPr>
              <w:t xml:space="preserve">Distribution</w:t>
            </w:r>
          </w:p>
        </w:tc>
        <w:tc>
          <w:tcPr>
            <w:tcW w:type="dxa" w:w="4700"/>
            <w:shd w:fill="F2F4F6" w:color="auto" w:val="clear"/>
            <w:tcMar>
              <w:top w:type="dxa" w:w="70"/>
              <w:left w:type="dxa" w:w="100"/>
              <w:bottom w:type="dxa" w:w="70"/>
              <w:right w:type="dxa" w:w="100"/>
            </w:tcMar>
            <w:vAlign w:val="top"/>
          </w:tcPr>
          <w:p>
            <w:pPr>
              <w:spacing w:after="0" w:before="0" w:line="252"/>
            </w:pPr>
            <w:r>
              <w:rPr>
                <w:sz w:val="17"/>
                <w:szCs w:val="17"/>
              </w:rPr>
              <w:t xml:space="preserve">[Who this is issued to]</w:t>
            </w:r>
          </w:p>
        </w:tc>
      </w:tr>
    </w:tbl>
    <w:p>
      <w:pPr>
        <w:pBdr>
          <w:top w:val="single" w:color="D4DAE0" w:sz="4" w:space="8"/>
        </w:pBdr>
        <w:spacing w:after="0" w:before="700" w:line="252"/>
      </w:pPr>
      <w:r>
        <w:rPr>
          <w:i/>
          <w:iCs/>
          <w:color w:val="60686F"/>
          <w:sz w:val="16"/>
          <w:szCs w:val="16"/>
        </w:rPr>
        <w:t xml:space="preserve">This document and all information contained in it is the property of [Organization Name]. Replace every bracketed field before issue, delete any clause that does not apply to your organization, and have it approved by a person with authority to do so. An unapproved, undated policy is not a control.</w:t>
      </w:r>
    </w:p>
    <w:p>
      <w:pPr>
        <w:pageBreakBefore/>
        <w:spacing w:after="160"/>
      </w:pPr>
      <w:r>
        <w:rPr>
          <w:b/>
          <w:bCs/>
          <w:color w:val="15314B"/>
          <w:sz w:val="27"/>
          <w:szCs w:val="27"/>
        </w:rPr>
        <w:t xml:space="preserve">Table of Contents</w:t>
      </w:r>
    </w:p>
    <w:p>
      <w:pPr>
        <w:pStyle w:val="TOC1"/>
        <w:tabs>
          <w:tab w:val="right" w:leader="dot" w:pos="9746"/>
        </w:tabs>
        <w:spacing w:after="12" w:line="240" w:lineRule="auto"/>
        <w:rPr>
          <w:noProof/>
        </w:rPr>
      </w:pPr>
      <w:r>
        <w:rPr>
          <w:noProof/>
        </w:rPr>
        <w:fldChar w:fldCharType="begin"/>
      </w:r>
      <w:r>
        <w:rPr>
          <w:noProof/>
        </w:rPr>
        <w:instrText xml:space="preserve"> TOC \o "1-2" \h \z \u </w:instrText>
      </w:r>
      <w:r>
        <w:rPr>
          <w:noProof/>
        </w:rPr>
        <w:fldChar w:fldCharType="separate"/>
      </w:r>
      <w:hyperlink w:anchor="_RG0001" w:history="1">
        <w:r>
          <w:rPr>
            <w:noProof/>
            <w:sz w:val="17"/>
          </w:rPr>
          <w:t xml:space="preserve">Executive summary</w:t>
        </w:r>
        <w:r>
          <w:rPr>
            <w:noProof/>
            <w:sz w:val="17"/>
          </w:rPr>
          <w:tab/>
        </w:r>
        <w:r>
          <w:rPr>
            <w:noProof/>
          </w:rPr>
          <w:fldChar w:fldCharType="begin"/>
        </w:r>
        <w:r>
          <w:rPr>
            <w:noProof/>
          </w:rPr>
          <w:instrText xml:space="preserve"> PAGEREF _RG0001 \h </w:instrText>
        </w:r>
        <w:r>
          <w:rPr>
            <w:noProof/>
          </w:rPr>
          <w:fldChar w:fldCharType="separate"/>
        </w:r>
        <w:r>
          <w:rPr>
            <w:noProof/>
            <w:sz w:val="17"/>
          </w:rPr>
          <w:t>3</w:t>
        </w:r>
        <w:r>
          <w:rPr>
            <w:noProof/>
          </w:rPr>
          <w:fldChar w:fldCharType="end"/>
        </w:r>
      </w:hyperlink>
    </w:p>
    <w:p>
      <w:pPr>
        <w:pStyle w:val="TOC1"/>
        <w:tabs>
          <w:tab w:val="right" w:leader="dot" w:pos="9746"/>
        </w:tabs>
        <w:spacing w:after="12" w:line="240" w:lineRule="auto"/>
        <w:rPr>
          <w:noProof/>
        </w:rPr>
      </w:pPr>
      <w:hyperlink w:anchor="_RG0002" w:history="1">
        <w:r>
          <w:rPr>
            <w:noProof/>
            <w:sz w:val="17"/>
          </w:rPr>
          <w:t xml:space="preserve">1.  Purpose, scope and application</w:t>
        </w:r>
        <w:r>
          <w:rPr>
            <w:noProof/>
            <w:sz w:val="17"/>
          </w:rPr>
          <w:tab/>
        </w:r>
        <w:r>
          <w:rPr>
            <w:noProof/>
          </w:rPr>
          <w:fldChar w:fldCharType="begin"/>
        </w:r>
        <w:r>
          <w:rPr>
            <w:noProof/>
          </w:rPr>
          <w:instrText xml:space="preserve"> PAGEREF _RG0002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3" w:history="1">
        <w:r>
          <w:rPr>
            <w:noProof/>
            <w:sz w:val="17"/>
          </w:rPr>
          <w:t xml:space="preserve">1.1  Scope</w:t>
        </w:r>
        <w:r>
          <w:rPr>
            <w:noProof/>
            <w:sz w:val="17"/>
          </w:rPr>
          <w:tab/>
        </w:r>
        <w:r>
          <w:rPr>
            <w:noProof/>
          </w:rPr>
          <w:fldChar w:fldCharType="begin"/>
        </w:r>
        <w:r>
          <w:rPr>
            <w:noProof/>
          </w:rPr>
          <w:instrText xml:space="preserve"> PAGEREF _RG0003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4" w:history="1">
        <w:r>
          <w:rPr>
            <w:noProof/>
            <w:sz w:val="17"/>
          </w:rPr>
          <w:t xml:space="preserve">1.2  Relationship to the record of processing</w:t>
        </w:r>
        <w:r>
          <w:rPr>
            <w:noProof/>
            <w:sz w:val="17"/>
          </w:rPr>
          <w:tab/>
        </w:r>
        <w:r>
          <w:rPr>
            <w:noProof/>
          </w:rPr>
          <w:fldChar w:fldCharType="begin"/>
        </w:r>
        <w:r>
          <w:rPr>
            <w:noProof/>
          </w:rPr>
          <w:instrText xml:space="preserve"> PAGEREF _RG0004 \h </w:instrText>
        </w:r>
        <w:r>
          <w:rPr>
            <w:noProof/>
          </w:rPr>
          <w:fldChar w:fldCharType="separate"/>
        </w:r>
        <w:r>
          <w:rPr>
            <w:noProof/>
            <w:sz w:val="17"/>
          </w:rPr>
          <w:t>4</w:t>
        </w:r>
        <w:r>
          <w:rPr>
            <w:noProof/>
          </w:rPr>
          <w:fldChar w:fldCharType="end"/>
        </w:r>
      </w:hyperlink>
    </w:p>
    <w:p>
      <w:pPr>
        <w:pStyle w:val="TOC2"/>
        <w:tabs>
          <w:tab w:val="right" w:leader="dot" w:pos="9746"/>
        </w:tabs>
        <w:spacing w:after="12" w:line="240" w:lineRule="auto"/>
        <w:ind w:left="220"/>
        <w:rPr>
          <w:noProof/>
        </w:rPr>
      </w:pPr>
      <w:hyperlink w:anchor="_RG0005" w:history="1">
        <w:r>
          <w:rPr>
            <w:noProof/>
            <w:sz w:val="17"/>
          </w:rPr>
          <w:t xml:space="preserve">1.3  How the applicable data protection law is used</w:t>
        </w:r>
        <w:r>
          <w:rPr>
            <w:noProof/>
            <w:sz w:val="17"/>
          </w:rPr>
          <w:tab/>
        </w:r>
        <w:r>
          <w:rPr>
            <w:noProof/>
          </w:rPr>
          <w:fldChar w:fldCharType="begin"/>
        </w:r>
        <w:r>
          <w:rPr>
            <w:noProof/>
          </w:rPr>
          <w:instrText xml:space="preserve"> PAGEREF _RG0005 \h </w:instrText>
        </w:r>
        <w:r>
          <w:rPr>
            <w:noProof/>
          </w:rPr>
          <w:fldChar w:fldCharType="separate"/>
        </w:r>
        <w:r>
          <w:rPr>
            <w:noProof/>
            <w:sz w:val="17"/>
          </w:rPr>
          <w:t>4</w:t>
        </w:r>
        <w:r>
          <w:rPr>
            <w:noProof/>
          </w:rPr>
          <w:fldChar w:fldCharType="end"/>
        </w:r>
      </w:hyperlink>
    </w:p>
    <w:p>
      <w:pPr>
        <w:pStyle w:val="TOC1"/>
        <w:tabs>
          <w:tab w:val="right" w:leader="dot" w:pos="9746"/>
        </w:tabs>
        <w:spacing w:after="12" w:line="240" w:lineRule="auto"/>
        <w:rPr>
          <w:noProof/>
        </w:rPr>
      </w:pPr>
      <w:hyperlink w:anchor="_RG0006" w:history="1">
        <w:r>
          <w:rPr>
            <w:noProof/>
            <w:sz w:val="17"/>
          </w:rPr>
          <w:t xml:space="preserve">2.  Principles</w:t>
        </w:r>
        <w:r>
          <w:rPr>
            <w:noProof/>
            <w:sz w:val="17"/>
          </w:rPr>
          <w:tab/>
        </w:r>
        <w:r>
          <w:rPr>
            <w:noProof/>
          </w:rPr>
          <w:fldChar w:fldCharType="begin"/>
        </w:r>
        <w:r>
          <w:rPr>
            <w:noProof/>
          </w:rPr>
          <w:instrText xml:space="preserve"> PAGEREF _RG0006 \h </w:instrText>
        </w:r>
        <w:r>
          <w:rPr>
            <w:noProof/>
          </w:rPr>
          <w:fldChar w:fldCharType="separate"/>
        </w:r>
        <w:r>
          <w:rPr>
            <w:noProof/>
            <w:sz w:val="17"/>
          </w:rPr>
          <w:t>5</w:t>
        </w:r>
        <w:r>
          <w:rPr>
            <w:noProof/>
          </w:rPr>
          <w:fldChar w:fldCharType="end"/>
        </w:r>
      </w:hyperlink>
    </w:p>
    <w:p>
      <w:pPr>
        <w:pStyle w:val="TOC1"/>
        <w:tabs>
          <w:tab w:val="right" w:leader="dot" w:pos="9746"/>
        </w:tabs>
        <w:spacing w:after="12" w:line="240" w:lineRule="auto"/>
        <w:rPr>
          <w:noProof/>
        </w:rPr>
      </w:pPr>
      <w:hyperlink w:anchor="_RG0007" w:history="1">
        <w:r>
          <w:rPr>
            <w:noProof/>
            <w:sz w:val="17"/>
          </w:rPr>
          <w:t xml:space="preserve">3.  Roles and responsibilities</w:t>
        </w:r>
        <w:r>
          <w:rPr>
            <w:noProof/>
            <w:sz w:val="17"/>
          </w:rPr>
          <w:tab/>
        </w:r>
        <w:r>
          <w:rPr>
            <w:noProof/>
          </w:rPr>
          <w:fldChar w:fldCharType="begin"/>
        </w:r>
        <w:r>
          <w:rPr>
            <w:noProof/>
          </w:rPr>
          <w:instrText xml:space="preserve"> PAGEREF _RG0007 \h </w:instrText>
        </w:r>
        <w:r>
          <w:rPr>
            <w:noProof/>
          </w:rPr>
          <w:fldChar w:fldCharType="separate"/>
        </w:r>
        <w:r>
          <w:rPr>
            <w:noProof/>
            <w:sz w:val="17"/>
          </w:rPr>
          <w:t>6</w:t>
        </w:r>
        <w:r>
          <w:rPr>
            <w:noProof/>
          </w:rPr>
          <w:fldChar w:fldCharType="end"/>
        </w:r>
      </w:hyperlink>
    </w:p>
    <w:p>
      <w:pPr>
        <w:pStyle w:val="TOC1"/>
        <w:tabs>
          <w:tab w:val="right" w:leader="dot" w:pos="9746"/>
        </w:tabs>
        <w:spacing w:after="12" w:line="240" w:lineRule="auto"/>
        <w:rPr>
          <w:noProof/>
        </w:rPr>
      </w:pPr>
      <w:hyperlink w:anchor="_RG0008" w:history="1">
        <w:r>
          <w:rPr>
            <w:noProof/>
            <w:sz w:val="17"/>
          </w:rPr>
          <w:t xml:space="preserve">4.  Screening</w:t>
        </w:r>
        <w:r>
          <w:rPr>
            <w:noProof/>
            <w:sz w:val="17"/>
          </w:rPr>
          <w:tab/>
        </w:r>
        <w:r>
          <w:rPr>
            <w:noProof/>
          </w:rPr>
          <w:fldChar w:fldCharType="begin"/>
        </w:r>
        <w:r>
          <w:rPr>
            <w:noProof/>
          </w:rPr>
          <w:instrText xml:space="preserve"> PAGEREF _RG0008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09" w:history="1">
        <w:r>
          <w:rPr>
            <w:noProof/>
            <w:sz w:val="17"/>
          </w:rPr>
          <w:t xml:space="preserve">4.1  When screening is carried out</w:t>
        </w:r>
        <w:r>
          <w:rPr>
            <w:noProof/>
            <w:sz w:val="17"/>
          </w:rPr>
          <w:tab/>
        </w:r>
        <w:r>
          <w:rPr>
            <w:noProof/>
          </w:rPr>
          <w:fldChar w:fldCharType="begin"/>
        </w:r>
        <w:r>
          <w:rPr>
            <w:noProof/>
          </w:rPr>
          <w:instrText xml:space="preserve"> PAGEREF _RG0009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0" w:history="1">
        <w:r>
          <w:rPr>
            <w:noProof/>
            <w:sz w:val="17"/>
          </w:rPr>
          <w:t xml:space="preserve">4.2  Screening criteria</w:t>
        </w:r>
        <w:r>
          <w:rPr>
            <w:noProof/>
            <w:sz w:val="17"/>
          </w:rPr>
          <w:tab/>
        </w:r>
        <w:r>
          <w:rPr>
            <w:noProof/>
          </w:rPr>
          <w:fldChar w:fldCharType="begin"/>
        </w:r>
        <w:r>
          <w:rPr>
            <w:noProof/>
          </w:rPr>
          <w:instrText xml:space="preserve"> PAGEREF _RG0010 \h </w:instrText>
        </w:r>
        <w:r>
          <w:rPr>
            <w:noProof/>
          </w:rPr>
          <w:fldChar w:fldCharType="separate"/>
        </w:r>
        <w:r>
          <w:rPr>
            <w:noProof/>
            <w:sz w:val="17"/>
          </w:rPr>
          <w:t>7</w:t>
        </w:r>
        <w:r>
          <w:rPr>
            <w:noProof/>
          </w:rPr>
          <w:fldChar w:fldCharType="end"/>
        </w:r>
      </w:hyperlink>
    </w:p>
    <w:p>
      <w:pPr>
        <w:pStyle w:val="TOC2"/>
        <w:tabs>
          <w:tab w:val="right" w:leader="dot" w:pos="9746"/>
        </w:tabs>
        <w:spacing w:after="12" w:line="240" w:lineRule="auto"/>
        <w:ind w:left="220"/>
        <w:rPr>
          <w:noProof/>
        </w:rPr>
      </w:pPr>
      <w:hyperlink w:anchor="_RG0011" w:history="1">
        <w:r>
          <w:rPr>
            <w:noProof/>
            <w:sz w:val="17"/>
          </w:rPr>
          <w:t xml:space="preserve">4.3  Screening decision rule</w:t>
        </w:r>
        <w:r>
          <w:rPr>
            <w:noProof/>
            <w:sz w:val="17"/>
          </w:rPr>
          <w:tab/>
        </w:r>
        <w:r>
          <w:rPr>
            <w:noProof/>
          </w:rPr>
          <w:fldChar w:fldCharType="begin"/>
        </w:r>
        <w:r>
          <w:rPr>
            <w:noProof/>
          </w:rPr>
          <w:instrText xml:space="preserve"> PAGEREF _RG0011 \h </w:instrText>
        </w:r>
        <w:r>
          <w:rPr>
            <w:noProof/>
          </w:rPr>
          <w:fldChar w:fldCharType="separate"/>
        </w:r>
        <w:r>
          <w:rPr>
            <w:noProof/>
            <w:sz w:val="17"/>
          </w:rPr>
          <w:t>8</w:t>
        </w:r>
        <w:r>
          <w:rPr>
            <w:noProof/>
          </w:rPr>
          <w:fldChar w:fldCharType="end"/>
        </w:r>
      </w:hyperlink>
    </w:p>
    <w:p>
      <w:pPr>
        <w:pStyle w:val="TOC1"/>
        <w:tabs>
          <w:tab w:val="right" w:leader="dot" w:pos="9746"/>
        </w:tabs>
        <w:spacing w:after="12" w:line="240" w:lineRule="auto"/>
        <w:rPr>
          <w:noProof/>
        </w:rPr>
      </w:pPr>
      <w:hyperlink w:anchor="_RG0012" w:history="1">
        <w:r>
          <w:rPr>
            <w:noProof/>
            <w:sz w:val="17"/>
          </w:rPr>
          <w:t xml:space="preserve">5.  Describing the processing</w:t>
        </w:r>
        <w:r>
          <w:rPr>
            <w:noProof/>
            <w:sz w:val="17"/>
          </w:rPr>
          <w:tab/>
        </w:r>
        <w:r>
          <w:rPr>
            <w:noProof/>
          </w:rPr>
          <w:fldChar w:fldCharType="begin"/>
        </w:r>
        <w:r>
          <w:rPr>
            <w:noProof/>
          </w:rPr>
          <w:instrText xml:space="preserve"> PAGEREF _RG0012 \h </w:instrText>
        </w:r>
        <w:r>
          <w:rPr>
            <w:noProof/>
          </w:rPr>
          <w:fldChar w:fldCharType="separate"/>
        </w:r>
        <w:r>
          <w:rPr>
            <w:noProof/>
            <w:sz w:val="17"/>
          </w:rPr>
          <w:t>8</w:t>
        </w:r>
        <w:r>
          <w:rPr>
            <w:noProof/>
          </w:rPr>
          <w:fldChar w:fldCharType="end"/>
        </w:r>
      </w:hyperlink>
    </w:p>
    <w:p>
      <w:pPr>
        <w:pStyle w:val="TOC2"/>
        <w:tabs>
          <w:tab w:val="right" w:leader="dot" w:pos="9746"/>
        </w:tabs>
        <w:spacing w:after="12" w:line="240" w:lineRule="auto"/>
        <w:ind w:left="220"/>
        <w:rPr>
          <w:noProof/>
        </w:rPr>
      </w:pPr>
      <w:hyperlink w:anchor="_RG0013" w:history="1">
        <w:r>
          <w:rPr>
            <w:noProof/>
            <w:sz w:val="17"/>
          </w:rPr>
          <w:t xml:space="preserve">5.1  What the description records</w:t>
        </w:r>
        <w:r>
          <w:rPr>
            <w:noProof/>
            <w:sz w:val="17"/>
          </w:rPr>
          <w:tab/>
        </w:r>
        <w:r>
          <w:rPr>
            <w:noProof/>
          </w:rPr>
          <w:fldChar w:fldCharType="begin"/>
        </w:r>
        <w:r>
          <w:rPr>
            <w:noProof/>
          </w:rPr>
          <w:instrText xml:space="preserve"> PAGEREF _RG0013 \h </w:instrText>
        </w:r>
        <w:r>
          <w:rPr>
            <w:noProof/>
          </w:rPr>
          <w:fldChar w:fldCharType="separate"/>
        </w:r>
        <w:r>
          <w:rPr>
            <w:noProof/>
            <w:sz w:val="17"/>
          </w:rPr>
          <w:t>9</w:t>
        </w:r>
        <w:r>
          <w:rPr>
            <w:noProof/>
          </w:rPr>
          <w:fldChar w:fldCharType="end"/>
        </w:r>
      </w:hyperlink>
    </w:p>
    <w:p>
      <w:pPr>
        <w:pStyle w:val="TOC2"/>
        <w:tabs>
          <w:tab w:val="right" w:leader="dot" w:pos="9746"/>
        </w:tabs>
        <w:spacing w:after="12" w:line="240" w:lineRule="auto"/>
        <w:ind w:left="220"/>
        <w:rPr>
          <w:noProof/>
        </w:rPr>
      </w:pPr>
      <w:hyperlink w:anchor="_RG0014" w:history="1">
        <w:r>
          <w:rPr>
            <w:noProof/>
            <w:sz w:val="17"/>
          </w:rPr>
          <w:t xml:space="preserve">5.2  How the description is verified</w:t>
        </w:r>
        <w:r>
          <w:rPr>
            <w:noProof/>
            <w:sz w:val="17"/>
          </w:rPr>
          <w:tab/>
        </w:r>
        <w:r>
          <w:rPr>
            <w:noProof/>
          </w:rPr>
          <w:fldChar w:fldCharType="begin"/>
        </w:r>
        <w:r>
          <w:rPr>
            <w:noProof/>
          </w:rPr>
          <w:instrText xml:space="preserve"> PAGEREF _RG0014 \h </w:instrText>
        </w:r>
        <w:r>
          <w:rPr>
            <w:noProof/>
          </w:rPr>
          <w:fldChar w:fldCharType="separate"/>
        </w:r>
        <w:r>
          <w:rPr>
            <w:noProof/>
            <w:sz w:val="17"/>
          </w:rPr>
          <w:t>9</w:t>
        </w:r>
        <w:r>
          <w:rPr>
            <w:noProof/>
          </w:rPr>
          <w:fldChar w:fldCharType="end"/>
        </w:r>
      </w:hyperlink>
    </w:p>
    <w:p>
      <w:pPr>
        <w:pStyle w:val="TOC1"/>
        <w:tabs>
          <w:tab w:val="right" w:leader="dot" w:pos="9746"/>
        </w:tabs>
        <w:spacing w:after="12" w:line="240" w:lineRule="auto"/>
        <w:rPr>
          <w:noProof/>
        </w:rPr>
      </w:pPr>
      <w:hyperlink w:anchor="_RG0015" w:history="1">
        <w:r>
          <w:rPr>
            <w:noProof/>
            <w:sz w:val="17"/>
          </w:rPr>
          <w:t xml:space="preserve">6.  Necessity and proportionality</w:t>
        </w:r>
        <w:r>
          <w:rPr>
            <w:noProof/>
            <w:sz w:val="17"/>
          </w:rPr>
          <w:tab/>
        </w:r>
        <w:r>
          <w:rPr>
            <w:noProof/>
          </w:rPr>
          <w:fldChar w:fldCharType="begin"/>
        </w:r>
        <w:r>
          <w:rPr>
            <w:noProof/>
          </w:rPr>
          <w:instrText xml:space="preserve"> PAGEREF _RG0015 \h </w:instrText>
        </w:r>
        <w:r>
          <w:rPr>
            <w:noProof/>
          </w:rPr>
          <w:fldChar w:fldCharType="separate"/>
        </w:r>
        <w:r>
          <w:rPr>
            <w:noProof/>
            <w:sz w:val="17"/>
          </w:rPr>
          <w:t>10</w:t>
        </w:r>
        <w:r>
          <w:rPr>
            <w:noProof/>
          </w:rPr>
          <w:fldChar w:fldCharType="end"/>
        </w:r>
      </w:hyperlink>
    </w:p>
    <w:p>
      <w:pPr>
        <w:pStyle w:val="TOC2"/>
        <w:tabs>
          <w:tab w:val="right" w:leader="dot" w:pos="9746"/>
        </w:tabs>
        <w:spacing w:after="12" w:line="240" w:lineRule="auto"/>
        <w:ind w:left="220"/>
        <w:rPr>
          <w:noProof/>
        </w:rPr>
      </w:pPr>
      <w:hyperlink w:anchor="_RG0016" w:history="1">
        <w:r>
          <w:rPr>
            <w:noProof/>
            <w:sz w:val="17"/>
          </w:rPr>
          <w:t xml:space="preserve">6.1  Questions the assessment answers</w:t>
        </w:r>
        <w:r>
          <w:rPr>
            <w:noProof/>
            <w:sz w:val="17"/>
          </w:rPr>
          <w:tab/>
        </w:r>
        <w:r>
          <w:rPr>
            <w:noProof/>
          </w:rPr>
          <w:fldChar w:fldCharType="begin"/>
        </w:r>
        <w:r>
          <w:rPr>
            <w:noProof/>
          </w:rPr>
          <w:instrText xml:space="preserve"> PAGEREF _RG0016 \h </w:instrText>
        </w:r>
        <w:r>
          <w:rPr>
            <w:noProof/>
          </w:rPr>
          <w:fldChar w:fldCharType="separate"/>
        </w:r>
        <w:r>
          <w:rPr>
            <w:noProof/>
            <w:sz w:val="17"/>
          </w:rPr>
          <w:t>10</w:t>
        </w:r>
        <w:r>
          <w:rPr>
            <w:noProof/>
          </w:rPr>
          <w:fldChar w:fldCharType="end"/>
        </w:r>
      </w:hyperlink>
    </w:p>
    <w:p>
      <w:pPr>
        <w:pStyle w:val="TOC1"/>
        <w:tabs>
          <w:tab w:val="right" w:leader="dot" w:pos="9746"/>
        </w:tabs>
        <w:spacing w:after="12" w:line="240" w:lineRule="auto"/>
        <w:rPr>
          <w:noProof/>
        </w:rPr>
      </w:pPr>
      <w:hyperlink w:anchor="_RG0017" w:history="1">
        <w:r>
          <w:rPr>
            <w:noProof/>
            <w:sz w:val="17"/>
          </w:rPr>
          <w:t xml:space="preserve">7.  Consultation</w:t>
        </w:r>
        <w:r>
          <w:rPr>
            <w:noProof/>
            <w:sz w:val="17"/>
          </w:rPr>
          <w:tab/>
        </w:r>
        <w:r>
          <w:rPr>
            <w:noProof/>
          </w:rPr>
          <w:fldChar w:fldCharType="begin"/>
        </w:r>
        <w:r>
          <w:rPr>
            <w:noProof/>
          </w:rPr>
          <w:instrText xml:space="preserve"> PAGEREF _RG0017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18" w:history="1">
        <w:r>
          <w:rPr>
            <w:noProof/>
            <w:sz w:val="17"/>
          </w:rPr>
          <w:t xml:space="preserve">7.1  Who is consulted</w:t>
        </w:r>
        <w:r>
          <w:rPr>
            <w:noProof/>
            <w:sz w:val="17"/>
          </w:rPr>
          <w:tab/>
        </w:r>
        <w:r>
          <w:rPr>
            <w:noProof/>
          </w:rPr>
          <w:fldChar w:fldCharType="begin"/>
        </w:r>
        <w:r>
          <w:rPr>
            <w:noProof/>
          </w:rPr>
          <w:instrText xml:space="preserve"> PAGEREF _RG0018 \h </w:instrText>
        </w:r>
        <w:r>
          <w:rPr>
            <w:noProof/>
          </w:rPr>
          <w:fldChar w:fldCharType="separate"/>
        </w:r>
        <w:r>
          <w:rPr>
            <w:noProof/>
            <w:sz w:val="17"/>
          </w:rPr>
          <w:t>11</w:t>
        </w:r>
        <w:r>
          <w:rPr>
            <w:noProof/>
          </w:rPr>
          <w:fldChar w:fldCharType="end"/>
        </w:r>
      </w:hyperlink>
    </w:p>
    <w:p>
      <w:pPr>
        <w:pStyle w:val="TOC2"/>
        <w:tabs>
          <w:tab w:val="right" w:leader="dot" w:pos="9746"/>
        </w:tabs>
        <w:spacing w:after="12" w:line="240" w:lineRule="auto"/>
        <w:ind w:left="220"/>
        <w:rPr>
          <w:noProof/>
        </w:rPr>
      </w:pPr>
      <w:hyperlink w:anchor="_RG0019" w:history="1">
        <w:r>
          <w:rPr>
            <w:noProof/>
            <w:sz w:val="17"/>
          </w:rPr>
          <w:t xml:space="preserve">7.2  Seeking the views of data subjects</w:t>
        </w:r>
        <w:r>
          <w:rPr>
            <w:noProof/>
            <w:sz w:val="17"/>
          </w:rPr>
          <w:tab/>
        </w:r>
        <w:r>
          <w:rPr>
            <w:noProof/>
          </w:rPr>
          <w:fldChar w:fldCharType="begin"/>
        </w:r>
        <w:r>
          <w:rPr>
            <w:noProof/>
          </w:rPr>
          <w:instrText xml:space="preserve"> PAGEREF _RG0019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20" w:history="1">
        <w:r>
          <w:rPr>
            <w:noProof/>
            <w:sz w:val="17"/>
          </w:rPr>
          <w:t xml:space="preserve">7.3  Recording advice that is not followed</w:t>
        </w:r>
        <w:r>
          <w:rPr>
            <w:noProof/>
            <w:sz w:val="17"/>
          </w:rPr>
          <w:tab/>
        </w:r>
        <w:r>
          <w:rPr>
            <w:noProof/>
          </w:rPr>
          <w:fldChar w:fldCharType="begin"/>
        </w:r>
        <w:r>
          <w:rPr>
            <w:noProof/>
          </w:rPr>
          <w:instrText xml:space="preserve"> PAGEREF _RG0020 \h </w:instrText>
        </w:r>
        <w:r>
          <w:rPr>
            <w:noProof/>
          </w:rPr>
          <w:fldChar w:fldCharType="separate"/>
        </w:r>
        <w:r>
          <w:rPr>
            <w:noProof/>
            <w:sz w:val="17"/>
          </w:rPr>
          <w:t>12</w:t>
        </w:r>
        <w:r>
          <w:rPr>
            <w:noProof/>
          </w:rPr>
          <w:fldChar w:fldCharType="end"/>
        </w:r>
      </w:hyperlink>
    </w:p>
    <w:p>
      <w:pPr>
        <w:pStyle w:val="TOC1"/>
        <w:tabs>
          <w:tab w:val="right" w:leader="dot" w:pos="9746"/>
        </w:tabs>
        <w:spacing w:after="12" w:line="240" w:lineRule="auto"/>
        <w:rPr>
          <w:noProof/>
        </w:rPr>
      </w:pPr>
      <w:hyperlink w:anchor="_RG0021" w:history="1">
        <w:r>
          <w:rPr>
            <w:noProof/>
            <w:sz w:val="17"/>
          </w:rPr>
          <w:t xml:space="preserve">8.  Identifying risks</w:t>
        </w:r>
        <w:r>
          <w:rPr>
            <w:noProof/>
            <w:sz w:val="17"/>
          </w:rPr>
          <w:tab/>
        </w:r>
        <w:r>
          <w:rPr>
            <w:noProof/>
          </w:rPr>
          <w:fldChar w:fldCharType="begin"/>
        </w:r>
        <w:r>
          <w:rPr>
            <w:noProof/>
          </w:rPr>
          <w:instrText xml:space="preserve"> PAGEREF _RG0021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22" w:history="1">
        <w:r>
          <w:rPr>
            <w:noProof/>
            <w:sz w:val="17"/>
          </w:rPr>
          <w:t xml:space="preserve">8.1  Sources of risk</w:t>
        </w:r>
        <w:r>
          <w:rPr>
            <w:noProof/>
            <w:sz w:val="17"/>
          </w:rPr>
          <w:tab/>
        </w:r>
        <w:r>
          <w:rPr>
            <w:noProof/>
          </w:rPr>
          <w:fldChar w:fldCharType="begin"/>
        </w:r>
        <w:r>
          <w:rPr>
            <w:noProof/>
          </w:rPr>
          <w:instrText xml:space="preserve"> PAGEREF _RG0022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23" w:history="1">
        <w:r>
          <w:rPr>
            <w:noProof/>
            <w:sz w:val="17"/>
          </w:rPr>
          <w:t xml:space="preserve">8.2  Impacts on rights and freedoms</w:t>
        </w:r>
        <w:r>
          <w:rPr>
            <w:noProof/>
            <w:sz w:val="17"/>
          </w:rPr>
          <w:tab/>
        </w:r>
        <w:r>
          <w:rPr>
            <w:noProof/>
          </w:rPr>
          <w:fldChar w:fldCharType="begin"/>
        </w:r>
        <w:r>
          <w:rPr>
            <w:noProof/>
          </w:rPr>
          <w:instrText xml:space="preserve"> PAGEREF _RG0023 \h </w:instrText>
        </w:r>
        <w:r>
          <w:rPr>
            <w:noProof/>
          </w:rPr>
          <w:fldChar w:fldCharType="separate"/>
        </w:r>
        <w:r>
          <w:rPr>
            <w:noProof/>
            <w:sz w:val="17"/>
          </w:rPr>
          <w:t>12</w:t>
        </w:r>
        <w:r>
          <w:rPr>
            <w:noProof/>
          </w:rPr>
          <w:fldChar w:fldCharType="end"/>
        </w:r>
      </w:hyperlink>
    </w:p>
    <w:p>
      <w:pPr>
        <w:pStyle w:val="TOC2"/>
        <w:tabs>
          <w:tab w:val="right" w:leader="dot" w:pos="9746"/>
        </w:tabs>
        <w:spacing w:after="12" w:line="240" w:lineRule="auto"/>
        <w:ind w:left="220"/>
        <w:rPr>
          <w:noProof/>
        </w:rPr>
      </w:pPr>
      <w:hyperlink w:anchor="_RG0024" w:history="1">
        <w:r>
          <w:rPr>
            <w:noProof/>
            <w:sz w:val="17"/>
          </w:rPr>
          <w:t xml:space="preserve">8.3  Method</w:t>
        </w:r>
        <w:r>
          <w:rPr>
            <w:noProof/>
            <w:sz w:val="17"/>
          </w:rPr>
          <w:tab/>
        </w:r>
        <w:r>
          <w:rPr>
            <w:noProof/>
          </w:rPr>
          <w:fldChar w:fldCharType="begin"/>
        </w:r>
        <w:r>
          <w:rPr>
            <w:noProof/>
          </w:rPr>
          <w:instrText xml:space="preserve"> PAGEREF _RG0024 \h </w:instrText>
        </w:r>
        <w:r>
          <w:rPr>
            <w:noProof/>
          </w:rPr>
          <w:fldChar w:fldCharType="separate"/>
        </w:r>
        <w:r>
          <w:rPr>
            <w:noProof/>
            <w:sz w:val="17"/>
          </w:rPr>
          <w:t>13</w:t>
        </w:r>
        <w:r>
          <w:rPr>
            <w:noProof/>
          </w:rPr>
          <w:fldChar w:fldCharType="end"/>
        </w:r>
      </w:hyperlink>
    </w:p>
    <w:p>
      <w:pPr>
        <w:pStyle w:val="TOC1"/>
        <w:tabs>
          <w:tab w:val="right" w:leader="dot" w:pos="9746"/>
        </w:tabs>
        <w:spacing w:after="12" w:line="240" w:lineRule="auto"/>
        <w:rPr>
          <w:noProof/>
        </w:rPr>
      </w:pPr>
      <w:hyperlink w:anchor="_RG0025" w:history="1">
        <w:r>
          <w:rPr>
            <w:noProof/>
            <w:sz w:val="17"/>
          </w:rPr>
          <w:t xml:space="preserve">9.  Rating risk</w:t>
        </w:r>
        <w:r>
          <w:rPr>
            <w:noProof/>
            <w:sz w:val="17"/>
          </w:rPr>
          <w:tab/>
        </w:r>
        <w:r>
          <w:rPr>
            <w:noProof/>
          </w:rPr>
          <w:fldChar w:fldCharType="begin"/>
        </w:r>
        <w:r>
          <w:rPr>
            <w:noProof/>
          </w:rPr>
          <w:instrText xml:space="preserve"> PAGEREF _RG0025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6" w:history="1">
        <w:r>
          <w:rPr>
            <w:noProof/>
            <w:sz w:val="17"/>
          </w:rPr>
          <w:t xml:space="preserve">9.1  Likelihood scale</w:t>
        </w:r>
        <w:r>
          <w:rPr>
            <w:noProof/>
            <w:sz w:val="17"/>
          </w:rPr>
          <w:tab/>
        </w:r>
        <w:r>
          <w:rPr>
            <w:noProof/>
          </w:rPr>
          <w:fldChar w:fldCharType="begin"/>
        </w:r>
        <w:r>
          <w:rPr>
            <w:noProof/>
          </w:rPr>
          <w:instrText xml:space="preserve"> PAGEREF _RG0026 \h </w:instrText>
        </w:r>
        <w:r>
          <w:rPr>
            <w:noProof/>
          </w:rPr>
          <w:fldChar w:fldCharType="separate"/>
        </w:r>
        <w:r>
          <w:rPr>
            <w:noProof/>
            <w:sz w:val="17"/>
          </w:rPr>
          <w:t>13</w:t>
        </w:r>
        <w:r>
          <w:rPr>
            <w:noProof/>
          </w:rPr>
          <w:fldChar w:fldCharType="end"/>
        </w:r>
      </w:hyperlink>
    </w:p>
    <w:p>
      <w:pPr>
        <w:pStyle w:val="TOC2"/>
        <w:tabs>
          <w:tab w:val="right" w:leader="dot" w:pos="9746"/>
        </w:tabs>
        <w:spacing w:after="12" w:line="240" w:lineRule="auto"/>
        <w:ind w:left="220"/>
        <w:rPr>
          <w:noProof/>
        </w:rPr>
      </w:pPr>
      <w:hyperlink w:anchor="_RG0027" w:history="1">
        <w:r>
          <w:rPr>
            <w:noProof/>
            <w:sz w:val="17"/>
          </w:rPr>
          <w:t xml:space="preserve">9.2  Severity scale</w:t>
        </w:r>
        <w:r>
          <w:rPr>
            <w:noProof/>
            <w:sz w:val="17"/>
          </w:rPr>
          <w:tab/>
        </w:r>
        <w:r>
          <w:rPr>
            <w:noProof/>
          </w:rPr>
          <w:fldChar w:fldCharType="begin"/>
        </w:r>
        <w:r>
          <w:rPr>
            <w:noProof/>
          </w:rPr>
          <w:instrText xml:space="preserve"> PAGEREF _RG0027 \h </w:instrText>
        </w:r>
        <w:r>
          <w:rPr>
            <w:noProof/>
          </w:rPr>
          <w:fldChar w:fldCharType="separate"/>
        </w:r>
        <w:r>
          <w:rPr>
            <w:noProof/>
            <w:sz w:val="17"/>
          </w:rPr>
          <w:t>14</w:t>
        </w:r>
        <w:r>
          <w:rPr>
            <w:noProof/>
          </w:rPr>
          <w:fldChar w:fldCharType="end"/>
        </w:r>
      </w:hyperlink>
    </w:p>
    <w:p>
      <w:pPr>
        <w:pStyle w:val="TOC2"/>
        <w:tabs>
          <w:tab w:val="right" w:leader="dot" w:pos="9746"/>
        </w:tabs>
        <w:spacing w:after="12" w:line="240" w:lineRule="auto"/>
        <w:ind w:left="220"/>
        <w:rPr>
          <w:noProof/>
        </w:rPr>
      </w:pPr>
      <w:hyperlink w:anchor="_RG0028" w:history="1">
        <w:r>
          <w:rPr>
            <w:noProof/>
            <w:sz w:val="17"/>
          </w:rPr>
          <w:t xml:space="preserve">9.3  Scoring matrix</w:t>
        </w:r>
        <w:r>
          <w:rPr>
            <w:noProof/>
            <w:sz w:val="17"/>
          </w:rPr>
          <w:tab/>
        </w:r>
        <w:r>
          <w:rPr>
            <w:noProof/>
          </w:rPr>
          <w:fldChar w:fldCharType="begin"/>
        </w:r>
        <w:r>
          <w:rPr>
            <w:noProof/>
          </w:rPr>
          <w:instrText xml:space="preserve"> PAGEREF _RG0028 \h </w:instrText>
        </w:r>
        <w:r>
          <w:rPr>
            <w:noProof/>
          </w:rPr>
          <w:fldChar w:fldCharType="separate"/>
        </w:r>
        <w:r>
          <w:rPr>
            <w:noProof/>
            <w:sz w:val="17"/>
          </w:rPr>
          <w:t>14</w:t>
        </w:r>
        <w:r>
          <w:rPr>
            <w:noProof/>
          </w:rPr>
          <w:fldChar w:fldCharType="end"/>
        </w:r>
      </w:hyperlink>
    </w:p>
    <w:p>
      <w:pPr>
        <w:pStyle w:val="TOC2"/>
        <w:tabs>
          <w:tab w:val="right" w:leader="dot" w:pos="9746"/>
        </w:tabs>
        <w:spacing w:after="12" w:line="240" w:lineRule="auto"/>
        <w:ind w:left="220"/>
        <w:rPr>
          <w:noProof/>
        </w:rPr>
      </w:pPr>
      <w:hyperlink w:anchor="_RG0029" w:history="1">
        <w:r>
          <w:rPr>
            <w:noProof/>
            <w:sz w:val="17"/>
          </w:rPr>
          <w:t xml:space="preserve">9.4  Inherent rating</w:t>
        </w:r>
        <w:r>
          <w:rPr>
            <w:noProof/>
            <w:sz w:val="17"/>
          </w:rPr>
          <w:tab/>
        </w:r>
        <w:r>
          <w:rPr>
            <w:noProof/>
          </w:rPr>
          <w:fldChar w:fldCharType="begin"/>
        </w:r>
        <w:r>
          <w:rPr>
            <w:noProof/>
          </w:rPr>
          <w:instrText xml:space="preserve"> PAGEREF _RG0029 \h </w:instrText>
        </w:r>
        <w:r>
          <w:rPr>
            <w:noProof/>
          </w:rPr>
          <w:fldChar w:fldCharType="separate"/>
        </w:r>
        <w:r>
          <w:rPr>
            <w:noProof/>
            <w:sz w:val="17"/>
          </w:rPr>
          <w:t>15</w:t>
        </w:r>
        <w:r>
          <w:rPr>
            <w:noProof/>
          </w:rPr>
          <w:fldChar w:fldCharType="end"/>
        </w:r>
      </w:hyperlink>
    </w:p>
    <w:p>
      <w:pPr>
        <w:pStyle w:val="TOC1"/>
        <w:tabs>
          <w:tab w:val="right" w:leader="dot" w:pos="9746"/>
        </w:tabs>
        <w:spacing w:after="12" w:line="240" w:lineRule="auto"/>
        <w:rPr>
          <w:noProof/>
        </w:rPr>
      </w:pPr>
      <w:hyperlink w:anchor="_RG0030" w:history="1">
        <w:r>
          <w:rPr>
            <w:noProof/>
            <w:sz w:val="17"/>
          </w:rPr>
          <w:t xml:space="preserve">10.  Controls and residual risk</w:t>
        </w:r>
        <w:r>
          <w:rPr>
            <w:noProof/>
            <w:sz w:val="17"/>
          </w:rPr>
          <w:tab/>
        </w:r>
        <w:r>
          <w:rPr>
            <w:noProof/>
          </w:rPr>
          <w:fldChar w:fldCharType="begin"/>
        </w:r>
        <w:r>
          <w:rPr>
            <w:noProof/>
          </w:rPr>
          <w:instrText xml:space="preserve"> PAGEREF _RG0030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1" w:history="1">
        <w:r>
          <w:rPr>
            <w:noProof/>
            <w:sz w:val="17"/>
          </w:rPr>
          <w:t xml:space="preserve">10.1  Types of control</w:t>
        </w:r>
        <w:r>
          <w:rPr>
            <w:noProof/>
            <w:sz w:val="17"/>
          </w:rPr>
          <w:tab/>
        </w:r>
        <w:r>
          <w:rPr>
            <w:noProof/>
          </w:rPr>
          <w:fldChar w:fldCharType="begin"/>
        </w:r>
        <w:r>
          <w:rPr>
            <w:noProof/>
          </w:rPr>
          <w:instrText xml:space="preserve"> PAGEREF _RG0031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2" w:history="1">
        <w:r>
          <w:rPr>
            <w:noProof/>
            <w:sz w:val="17"/>
          </w:rPr>
          <w:t xml:space="preserve">10.2  Recording controls</w:t>
        </w:r>
        <w:r>
          <w:rPr>
            <w:noProof/>
            <w:sz w:val="17"/>
          </w:rPr>
          <w:tab/>
        </w:r>
        <w:r>
          <w:rPr>
            <w:noProof/>
          </w:rPr>
          <w:fldChar w:fldCharType="begin"/>
        </w:r>
        <w:r>
          <w:rPr>
            <w:noProof/>
          </w:rPr>
          <w:instrText xml:space="preserve"> PAGEREF _RG0032 \h </w:instrText>
        </w:r>
        <w:r>
          <w:rPr>
            <w:noProof/>
          </w:rPr>
          <w:fldChar w:fldCharType="separate"/>
        </w:r>
        <w:r>
          <w:rPr>
            <w:noProof/>
            <w:sz w:val="17"/>
          </w:rPr>
          <w:t>15</w:t>
        </w:r>
        <w:r>
          <w:rPr>
            <w:noProof/>
          </w:rPr>
          <w:fldChar w:fldCharType="end"/>
        </w:r>
      </w:hyperlink>
    </w:p>
    <w:p>
      <w:pPr>
        <w:pStyle w:val="TOC2"/>
        <w:tabs>
          <w:tab w:val="right" w:leader="dot" w:pos="9746"/>
        </w:tabs>
        <w:spacing w:after="12" w:line="240" w:lineRule="auto"/>
        <w:ind w:left="220"/>
        <w:rPr>
          <w:noProof/>
        </w:rPr>
      </w:pPr>
      <w:hyperlink w:anchor="_RG0033" w:history="1">
        <w:r>
          <w:rPr>
            <w:noProof/>
            <w:sz w:val="17"/>
          </w:rPr>
          <w:t xml:space="preserve">10.3  Rating residual risk</w:t>
        </w:r>
        <w:r>
          <w:rPr>
            <w:noProof/>
            <w:sz w:val="17"/>
          </w:rPr>
          <w:tab/>
        </w:r>
        <w:r>
          <w:rPr>
            <w:noProof/>
          </w:rPr>
          <w:fldChar w:fldCharType="begin"/>
        </w:r>
        <w:r>
          <w:rPr>
            <w:noProof/>
          </w:rPr>
          <w:instrText xml:space="preserve"> PAGEREF _RG0033 \h </w:instrText>
        </w:r>
        <w:r>
          <w:rPr>
            <w:noProof/>
          </w:rPr>
          <w:fldChar w:fldCharType="separate"/>
        </w:r>
        <w:r>
          <w:rPr>
            <w:noProof/>
            <w:sz w:val="17"/>
          </w:rPr>
          <w:t>16</w:t>
        </w:r>
        <w:r>
          <w:rPr>
            <w:noProof/>
          </w:rPr>
          <w:fldChar w:fldCharType="end"/>
        </w:r>
      </w:hyperlink>
    </w:p>
    <w:p>
      <w:pPr>
        <w:pStyle w:val="TOC1"/>
        <w:tabs>
          <w:tab w:val="right" w:leader="dot" w:pos="9746"/>
        </w:tabs>
        <w:spacing w:after="12" w:line="240" w:lineRule="auto"/>
        <w:rPr>
          <w:noProof/>
        </w:rPr>
      </w:pPr>
      <w:hyperlink w:anchor="_RG0034" w:history="1">
        <w:r>
          <w:rPr>
            <w:noProof/>
            <w:sz w:val="17"/>
          </w:rPr>
          <w:t xml:space="preserve">11.  Sign-off and acceptance of residual risk</w:t>
        </w:r>
        <w:r>
          <w:rPr>
            <w:noProof/>
            <w:sz w:val="17"/>
          </w:rPr>
          <w:tab/>
        </w:r>
        <w:r>
          <w:rPr>
            <w:noProof/>
          </w:rPr>
          <w:fldChar w:fldCharType="begin"/>
        </w:r>
        <w:r>
          <w:rPr>
            <w:noProof/>
          </w:rPr>
          <w:instrText xml:space="preserve"> PAGEREF _RG0034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35" w:history="1">
        <w:r>
          <w:rPr>
            <w:noProof/>
            <w:sz w:val="17"/>
          </w:rPr>
          <w:t xml:space="preserve">11.1  Acceptance authority</w:t>
        </w:r>
        <w:r>
          <w:rPr>
            <w:noProof/>
            <w:sz w:val="17"/>
          </w:rPr>
          <w:tab/>
        </w:r>
        <w:r>
          <w:rPr>
            <w:noProof/>
          </w:rPr>
          <w:fldChar w:fldCharType="begin"/>
        </w:r>
        <w:r>
          <w:rPr>
            <w:noProof/>
          </w:rPr>
          <w:instrText xml:space="preserve"> PAGEREF _RG0035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36" w:history="1">
        <w:r>
          <w:rPr>
            <w:noProof/>
            <w:sz w:val="17"/>
          </w:rPr>
          <w:t xml:space="preserve">11.2  The outcome</w:t>
        </w:r>
        <w:r>
          <w:rPr>
            <w:noProof/>
            <w:sz w:val="17"/>
          </w:rPr>
          <w:tab/>
        </w:r>
        <w:r>
          <w:rPr>
            <w:noProof/>
          </w:rPr>
          <w:fldChar w:fldCharType="begin"/>
        </w:r>
        <w:r>
          <w:rPr>
            <w:noProof/>
          </w:rPr>
          <w:instrText xml:space="preserve"> PAGEREF _RG0036 \h </w:instrText>
        </w:r>
        <w:r>
          <w:rPr>
            <w:noProof/>
          </w:rPr>
          <w:fldChar w:fldCharType="separate"/>
        </w:r>
        <w:r>
          <w:rPr>
            <w:noProof/>
            <w:sz w:val="17"/>
          </w:rPr>
          <w:t>16</w:t>
        </w:r>
        <w:r>
          <w:rPr>
            <w:noProof/>
          </w:rPr>
          <w:fldChar w:fldCharType="end"/>
        </w:r>
      </w:hyperlink>
    </w:p>
    <w:p>
      <w:pPr>
        <w:pStyle w:val="TOC1"/>
        <w:tabs>
          <w:tab w:val="right" w:leader="dot" w:pos="9746"/>
        </w:tabs>
        <w:spacing w:after="12" w:line="240" w:lineRule="auto"/>
        <w:rPr>
          <w:noProof/>
        </w:rPr>
      </w:pPr>
      <w:hyperlink w:anchor="_RG0037" w:history="1">
        <w:r>
          <w:rPr>
            <w:noProof/>
            <w:sz w:val="17"/>
          </w:rPr>
          <w:t xml:space="preserve">12.  Prior consultation decision</w:t>
        </w:r>
        <w:r>
          <w:rPr>
            <w:noProof/>
            <w:sz w:val="17"/>
          </w:rPr>
          <w:tab/>
        </w:r>
        <w:r>
          <w:rPr>
            <w:noProof/>
          </w:rPr>
          <w:fldChar w:fldCharType="begin"/>
        </w:r>
        <w:r>
          <w:rPr>
            <w:noProof/>
          </w:rPr>
          <w:instrText xml:space="preserve"> PAGEREF _RG0037 \h </w:instrText>
        </w:r>
        <w:r>
          <w:rPr>
            <w:noProof/>
          </w:rPr>
          <w:fldChar w:fldCharType="separate"/>
        </w:r>
        <w:r>
          <w:rPr>
            <w:noProof/>
            <w:sz w:val="17"/>
          </w:rPr>
          <w:t>16</w:t>
        </w:r>
        <w:r>
          <w:rPr>
            <w:noProof/>
          </w:rPr>
          <w:fldChar w:fldCharType="end"/>
        </w:r>
      </w:hyperlink>
    </w:p>
    <w:p>
      <w:pPr>
        <w:pStyle w:val="TOC2"/>
        <w:tabs>
          <w:tab w:val="right" w:leader="dot" w:pos="9746"/>
        </w:tabs>
        <w:spacing w:after="12" w:line="240" w:lineRule="auto"/>
        <w:ind w:left="220"/>
        <w:rPr>
          <w:noProof/>
        </w:rPr>
      </w:pPr>
      <w:hyperlink w:anchor="_RG0038" w:history="1">
        <w:r>
          <w:rPr>
            <w:noProof/>
            <w:sz w:val="17"/>
          </w:rPr>
          <w:t xml:space="preserve">12.1  Decision process</w:t>
        </w:r>
        <w:r>
          <w:rPr>
            <w:noProof/>
            <w:sz w:val="17"/>
          </w:rPr>
          <w:tab/>
        </w:r>
        <w:r>
          <w:rPr>
            <w:noProof/>
          </w:rPr>
          <w:fldChar w:fldCharType="begin"/>
        </w:r>
        <w:r>
          <w:rPr>
            <w:noProof/>
          </w:rPr>
          <w:instrText xml:space="preserve"> PAGEREF _RG0038 \h </w:instrText>
        </w:r>
        <w:r>
          <w:rPr>
            <w:noProof/>
          </w:rPr>
          <w:fldChar w:fldCharType="separate"/>
        </w:r>
        <w:r>
          <w:rPr>
            <w:noProof/>
            <w:sz w:val="17"/>
          </w:rPr>
          <w:t>17</w:t>
        </w:r>
        <w:r>
          <w:rPr>
            <w:noProof/>
          </w:rPr>
          <w:fldChar w:fldCharType="end"/>
        </w:r>
      </w:hyperlink>
    </w:p>
    <w:p>
      <w:pPr>
        <w:pStyle w:val="TOC1"/>
        <w:tabs>
          <w:tab w:val="right" w:leader="dot" w:pos="9746"/>
        </w:tabs>
        <w:spacing w:after="12" w:line="240" w:lineRule="auto"/>
        <w:rPr>
          <w:noProof/>
        </w:rPr>
      </w:pPr>
      <w:hyperlink w:anchor="_RG0039" w:history="1">
        <w:r>
          <w:rPr>
            <w:noProof/>
            <w:sz w:val="17"/>
          </w:rPr>
          <w:t xml:space="preserve">13.  Actions, review triggers and review cycle</w:t>
        </w:r>
        <w:r>
          <w:rPr>
            <w:noProof/>
            <w:sz w:val="17"/>
          </w:rPr>
          <w:tab/>
        </w:r>
        <w:r>
          <w:rPr>
            <w:noProof/>
          </w:rPr>
          <w:fldChar w:fldCharType="begin"/>
        </w:r>
        <w:r>
          <w:rPr>
            <w:noProof/>
          </w:rPr>
          <w:instrText xml:space="preserve"> PAGEREF _RG0039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0" w:history="1">
        <w:r>
          <w:rPr>
            <w:noProof/>
            <w:sz w:val="17"/>
          </w:rPr>
          <w:t xml:space="preserve">13.1  Action plan</w:t>
        </w:r>
        <w:r>
          <w:rPr>
            <w:noProof/>
            <w:sz w:val="17"/>
          </w:rPr>
          <w:tab/>
        </w:r>
        <w:r>
          <w:rPr>
            <w:noProof/>
          </w:rPr>
          <w:fldChar w:fldCharType="begin"/>
        </w:r>
        <w:r>
          <w:rPr>
            <w:noProof/>
          </w:rPr>
          <w:instrText xml:space="preserve"> PAGEREF _RG0040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1" w:history="1">
        <w:r>
          <w:rPr>
            <w:noProof/>
            <w:sz w:val="17"/>
          </w:rPr>
          <w:t xml:space="preserve">13.2  Review triggers</w:t>
        </w:r>
        <w:r>
          <w:rPr>
            <w:noProof/>
            <w:sz w:val="17"/>
          </w:rPr>
          <w:tab/>
        </w:r>
        <w:r>
          <w:rPr>
            <w:noProof/>
          </w:rPr>
          <w:fldChar w:fldCharType="begin"/>
        </w:r>
        <w:r>
          <w:rPr>
            <w:noProof/>
          </w:rPr>
          <w:instrText xml:space="preserve"> PAGEREF _RG0041 \h </w:instrText>
        </w:r>
        <w:r>
          <w:rPr>
            <w:noProof/>
          </w:rPr>
          <w:fldChar w:fldCharType="separate"/>
        </w:r>
        <w:r>
          <w:rPr>
            <w:noProof/>
            <w:sz w:val="17"/>
          </w:rPr>
          <w:t>17</w:t>
        </w:r>
        <w:r>
          <w:rPr>
            <w:noProof/>
          </w:rPr>
          <w:fldChar w:fldCharType="end"/>
        </w:r>
      </w:hyperlink>
    </w:p>
    <w:p>
      <w:pPr>
        <w:pStyle w:val="TOC2"/>
        <w:tabs>
          <w:tab w:val="right" w:leader="dot" w:pos="9746"/>
        </w:tabs>
        <w:spacing w:after="12" w:line="240" w:lineRule="auto"/>
        <w:ind w:left="220"/>
        <w:rPr>
          <w:noProof/>
        </w:rPr>
      </w:pPr>
      <w:hyperlink w:anchor="_RG0042" w:history="1">
        <w:r>
          <w:rPr>
            <w:noProof/>
            <w:sz w:val="17"/>
          </w:rPr>
          <w:t xml:space="preserve">13.3  Review cycle</w:t>
        </w:r>
        <w:r>
          <w:rPr>
            <w:noProof/>
            <w:sz w:val="17"/>
          </w:rPr>
          <w:tab/>
        </w:r>
        <w:r>
          <w:rPr>
            <w:noProof/>
          </w:rPr>
          <w:fldChar w:fldCharType="begin"/>
        </w:r>
        <w:r>
          <w:rPr>
            <w:noProof/>
          </w:rPr>
          <w:instrText xml:space="preserve"> PAGEREF _RG0042 \h </w:instrText>
        </w:r>
        <w:r>
          <w:rPr>
            <w:noProof/>
          </w:rPr>
          <w:fldChar w:fldCharType="separate"/>
        </w:r>
        <w:r>
          <w:rPr>
            <w:noProof/>
            <w:sz w:val="17"/>
          </w:rPr>
          <w:t>18</w:t>
        </w:r>
        <w:r>
          <w:rPr>
            <w:noProof/>
          </w:rPr>
          <w:fldChar w:fldCharType="end"/>
        </w:r>
      </w:hyperlink>
    </w:p>
    <w:p>
      <w:pPr>
        <w:pStyle w:val="TOC1"/>
        <w:tabs>
          <w:tab w:val="right" w:leader="dot" w:pos="9746"/>
        </w:tabs>
        <w:spacing w:after="12" w:line="240" w:lineRule="auto"/>
        <w:rPr>
          <w:noProof/>
        </w:rPr>
      </w:pPr>
      <w:hyperlink w:anchor="_RG0043" w:history="1">
        <w:r>
          <w:rPr>
            <w:noProof/>
            <w:sz w:val="17"/>
          </w:rPr>
          <w:t xml:space="preserve">14.  Records and retention</w:t>
        </w:r>
        <w:r>
          <w:rPr>
            <w:noProof/>
            <w:sz w:val="17"/>
          </w:rPr>
          <w:tab/>
        </w:r>
        <w:r>
          <w:rPr>
            <w:noProof/>
          </w:rPr>
          <w:fldChar w:fldCharType="begin"/>
        </w:r>
        <w:r>
          <w:rPr>
            <w:noProof/>
          </w:rPr>
          <w:instrText xml:space="preserve"> PAGEREF _RG0043 \h </w:instrText>
        </w:r>
        <w:r>
          <w:rPr>
            <w:noProof/>
          </w:rPr>
          <w:fldChar w:fldCharType="separate"/>
        </w:r>
        <w:r>
          <w:rPr>
            <w:noProof/>
            <w:sz w:val="17"/>
          </w:rPr>
          <w:t>18</w:t>
        </w:r>
        <w:r>
          <w:rPr>
            <w:noProof/>
          </w:rPr>
          <w:fldChar w:fldCharType="end"/>
        </w:r>
      </w:hyperlink>
    </w:p>
    <w:p>
      <w:pPr>
        <w:pStyle w:val="TOC1"/>
        <w:tabs>
          <w:tab w:val="right" w:leader="dot" w:pos="9746"/>
        </w:tabs>
        <w:spacing w:after="12" w:line="240" w:lineRule="auto"/>
        <w:rPr>
          <w:noProof/>
        </w:rPr>
      </w:pPr>
      <w:hyperlink w:anchor="_RG0044" w:history="1">
        <w:r>
          <w:rPr>
            <w:noProof/>
            <w:sz w:val="17"/>
          </w:rPr>
          <w:t xml:space="preserve">15.  Evidence of operation</w:t>
        </w:r>
        <w:r>
          <w:rPr>
            <w:noProof/>
            <w:sz w:val="17"/>
          </w:rPr>
          <w:tab/>
        </w:r>
        <w:r>
          <w:rPr>
            <w:noProof/>
          </w:rPr>
          <w:fldChar w:fldCharType="begin"/>
        </w:r>
        <w:r>
          <w:rPr>
            <w:noProof/>
          </w:rPr>
          <w:instrText xml:space="preserve"> PAGEREF _RG0044 \h </w:instrText>
        </w:r>
        <w:r>
          <w:rPr>
            <w:noProof/>
          </w:rPr>
          <w:fldChar w:fldCharType="separate"/>
        </w:r>
        <w:r>
          <w:rPr>
            <w:noProof/>
            <w:sz w:val="17"/>
          </w:rPr>
          <w:t>18</w:t>
        </w:r>
        <w:r>
          <w:rPr>
            <w:noProof/>
          </w:rPr>
          <w:fldChar w:fldCharType="end"/>
        </w:r>
      </w:hyperlink>
    </w:p>
    <w:p>
      <w:pPr>
        <w:pStyle w:val="TOC1"/>
        <w:tabs>
          <w:tab w:val="right" w:leader="dot" w:pos="9746"/>
        </w:tabs>
        <w:spacing w:after="12" w:line="240" w:lineRule="auto"/>
        <w:rPr>
          <w:noProof/>
        </w:rPr>
      </w:pPr>
      <w:hyperlink w:anchor="_RG0045" w:history="1">
        <w:r>
          <w:rPr>
            <w:noProof/>
            <w:sz w:val="17"/>
          </w:rPr>
          <w:t xml:space="preserve">16.  What this document cannot do</w:t>
        </w:r>
        <w:r>
          <w:rPr>
            <w:noProof/>
            <w:sz w:val="17"/>
          </w:rPr>
          <w:tab/>
        </w:r>
        <w:r>
          <w:rPr>
            <w:noProof/>
          </w:rPr>
          <w:fldChar w:fldCharType="begin"/>
        </w:r>
        <w:r>
          <w:rPr>
            <w:noProof/>
          </w:rPr>
          <w:instrText xml:space="preserve"> PAGEREF _RG0045 \h </w:instrText>
        </w:r>
        <w:r>
          <w:rPr>
            <w:noProof/>
          </w:rPr>
          <w:fldChar w:fldCharType="separate"/>
        </w:r>
        <w:r>
          <w:rPr>
            <w:noProof/>
            <w:sz w:val="17"/>
          </w:rPr>
          <w:t>19</w:t>
        </w:r>
        <w:r>
          <w:rPr>
            <w:noProof/>
          </w:rPr>
          <w:fldChar w:fldCharType="end"/>
        </w:r>
      </w:hyperlink>
    </w:p>
    <w:p>
      <w:pPr>
        <w:pStyle w:val="TOC1"/>
        <w:tabs>
          <w:tab w:val="right" w:leader="dot" w:pos="9746"/>
        </w:tabs>
        <w:spacing w:after="12" w:line="240" w:lineRule="auto"/>
        <w:rPr>
          <w:noProof/>
        </w:rPr>
      </w:pPr>
      <w:hyperlink w:anchor="_RG0046" w:history="1">
        <w:r>
          <w:rPr>
            <w:noProof/>
            <w:sz w:val="17"/>
          </w:rPr>
          <w:t xml:space="preserve">Appendix A.  Screening checklist</w:t>
        </w:r>
        <w:r>
          <w:rPr>
            <w:noProof/>
            <w:sz w:val="17"/>
          </w:rPr>
          <w:tab/>
        </w:r>
        <w:r>
          <w:rPr>
            <w:noProof/>
          </w:rPr>
          <w:fldChar w:fldCharType="begin"/>
        </w:r>
        <w:r>
          <w:rPr>
            <w:noProof/>
          </w:rPr>
          <w:instrText xml:space="preserve"> PAGEREF _RG0046 \h </w:instrText>
        </w:r>
        <w:r>
          <w:rPr>
            <w:noProof/>
          </w:rPr>
          <w:fldChar w:fldCharType="separate"/>
        </w:r>
        <w:r>
          <w:rPr>
            <w:noProof/>
            <w:sz w:val="17"/>
          </w:rPr>
          <w:t>20</w:t>
        </w:r>
        <w:r>
          <w:rPr>
            <w:noProof/>
          </w:rPr>
          <w:fldChar w:fldCharType="end"/>
        </w:r>
      </w:hyperlink>
    </w:p>
    <w:p>
      <w:pPr>
        <w:pStyle w:val="TOC1"/>
        <w:tabs>
          <w:tab w:val="right" w:leader="dot" w:pos="9746"/>
        </w:tabs>
        <w:spacing w:after="12" w:line="240" w:lineRule="auto"/>
        <w:rPr>
          <w:noProof/>
        </w:rPr>
      </w:pPr>
      <w:hyperlink w:anchor="_RG0047" w:history="1">
        <w:r>
          <w:rPr>
            <w:noProof/>
            <w:sz w:val="17"/>
          </w:rPr>
          <w:t xml:space="preserve">Appendix B.  Processing description form</w:t>
        </w:r>
        <w:r>
          <w:rPr>
            <w:noProof/>
            <w:sz w:val="17"/>
          </w:rPr>
          <w:tab/>
        </w:r>
        <w:r>
          <w:rPr>
            <w:noProof/>
          </w:rPr>
          <w:fldChar w:fldCharType="begin"/>
        </w:r>
        <w:r>
          <w:rPr>
            <w:noProof/>
          </w:rPr>
          <w:instrText xml:space="preserve"> PAGEREF _RG0047 \h </w:instrText>
        </w:r>
        <w:r>
          <w:rPr>
            <w:noProof/>
          </w:rPr>
          <w:fldChar w:fldCharType="separate"/>
        </w:r>
        <w:r>
          <w:rPr>
            <w:noProof/>
            <w:sz w:val="17"/>
          </w:rPr>
          <w:t>21</w:t>
        </w:r>
        <w:r>
          <w:rPr>
            <w:noProof/>
          </w:rPr>
          <w:fldChar w:fldCharType="end"/>
        </w:r>
      </w:hyperlink>
    </w:p>
    <w:p>
      <w:pPr>
        <w:pStyle w:val="TOC1"/>
        <w:tabs>
          <w:tab w:val="right" w:leader="dot" w:pos="9746"/>
        </w:tabs>
        <w:spacing w:after="12" w:line="240" w:lineRule="auto"/>
        <w:rPr>
          <w:noProof/>
        </w:rPr>
      </w:pPr>
      <w:hyperlink w:anchor="_RG0048" w:history="1">
        <w:r>
          <w:rPr>
            <w:noProof/>
            <w:sz w:val="17"/>
          </w:rPr>
          <w:t xml:space="preserve">Appendix C.  Necessity and proportionality form</w:t>
        </w:r>
        <w:r>
          <w:rPr>
            <w:noProof/>
            <w:sz w:val="17"/>
          </w:rPr>
          <w:tab/>
        </w:r>
        <w:r>
          <w:rPr>
            <w:noProof/>
          </w:rPr>
          <w:fldChar w:fldCharType="begin"/>
        </w:r>
        <w:r>
          <w:rPr>
            <w:noProof/>
          </w:rPr>
          <w:instrText xml:space="preserve"> PAGEREF _RG0048 \h </w:instrText>
        </w:r>
        <w:r>
          <w:rPr>
            <w:noProof/>
          </w:rPr>
          <w:fldChar w:fldCharType="separate"/>
        </w:r>
        <w:r>
          <w:rPr>
            <w:noProof/>
            <w:sz w:val="17"/>
          </w:rPr>
          <w:t>22</w:t>
        </w:r>
        <w:r>
          <w:rPr>
            <w:noProof/>
          </w:rPr>
          <w:fldChar w:fldCharType="end"/>
        </w:r>
      </w:hyperlink>
    </w:p>
    <w:p>
      <w:pPr>
        <w:pStyle w:val="TOC1"/>
        <w:tabs>
          <w:tab w:val="right" w:leader="dot" w:pos="9746"/>
        </w:tabs>
        <w:spacing w:after="12" w:line="240" w:lineRule="auto"/>
        <w:rPr>
          <w:noProof/>
        </w:rPr>
      </w:pPr>
      <w:hyperlink w:anchor="_RG0049" w:history="1">
        <w:r>
          <w:rPr>
            <w:noProof/>
            <w:sz w:val="17"/>
          </w:rPr>
          <w:t xml:space="preserve">Appendix D.  Consultation record</w:t>
        </w:r>
        <w:r>
          <w:rPr>
            <w:noProof/>
            <w:sz w:val="17"/>
          </w:rPr>
          <w:tab/>
        </w:r>
        <w:r>
          <w:rPr>
            <w:noProof/>
          </w:rPr>
          <w:fldChar w:fldCharType="begin"/>
        </w:r>
        <w:r>
          <w:rPr>
            <w:noProof/>
          </w:rPr>
          <w:instrText xml:space="preserve"> PAGEREF _RG0049 \h </w:instrText>
        </w:r>
        <w:r>
          <w:rPr>
            <w:noProof/>
          </w:rPr>
          <w:fldChar w:fldCharType="separate"/>
        </w:r>
        <w:r>
          <w:rPr>
            <w:noProof/>
            <w:sz w:val="17"/>
          </w:rPr>
          <w:t>24</w:t>
        </w:r>
        <w:r>
          <w:rPr>
            <w:noProof/>
          </w:rPr>
          <w:fldChar w:fldCharType="end"/>
        </w:r>
      </w:hyperlink>
    </w:p>
    <w:p>
      <w:pPr>
        <w:pStyle w:val="TOC1"/>
        <w:tabs>
          <w:tab w:val="right" w:leader="dot" w:pos="9746"/>
        </w:tabs>
        <w:spacing w:after="12" w:line="240" w:lineRule="auto"/>
        <w:rPr>
          <w:noProof/>
        </w:rPr>
      </w:pPr>
      <w:hyperlink w:anchor="_RG0050" w:history="1">
        <w:r>
          <w:rPr>
            <w:noProof/>
            <w:sz w:val="17"/>
          </w:rPr>
          <w:t xml:space="preserve">Appendix E.  Risk register</w:t>
        </w:r>
        <w:r>
          <w:rPr>
            <w:noProof/>
            <w:sz w:val="17"/>
          </w:rPr>
          <w:tab/>
        </w:r>
        <w:r>
          <w:rPr>
            <w:noProof/>
          </w:rPr>
          <w:fldChar w:fldCharType="begin"/>
        </w:r>
        <w:r>
          <w:rPr>
            <w:noProof/>
          </w:rPr>
          <w:instrText xml:space="preserve"> PAGEREF _RG0050 \h </w:instrText>
        </w:r>
        <w:r>
          <w:rPr>
            <w:noProof/>
          </w:rPr>
          <w:fldChar w:fldCharType="separate"/>
        </w:r>
        <w:r>
          <w:rPr>
            <w:noProof/>
            <w:sz w:val="17"/>
          </w:rPr>
          <w:t>24</w:t>
        </w:r>
        <w:r>
          <w:rPr>
            <w:noProof/>
          </w:rPr>
          <w:fldChar w:fldCharType="end"/>
        </w:r>
      </w:hyperlink>
    </w:p>
    <w:p>
      <w:pPr>
        <w:pStyle w:val="TOC1"/>
        <w:tabs>
          <w:tab w:val="right" w:leader="dot" w:pos="9746"/>
        </w:tabs>
        <w:spacing w:after="12" w:line="240" w:lineRule="auto"/>
        <w:rPr>
          <w:noProof/>
        </w:rPr>
      </w:pPr>
      <w:hyperlink w:anchor="_RG0051" w:history="1">
        <w:r>
          <w:rPr>
            <w:noProof/>
            <w:sz w:val="17"/>
          </w:rPr>
          <w:t xml:space="preserve">Appendix F.  Action plan</w:t>
        </w:r>
        <w:r>
          <w:rPr>
            <w:noProof/>
            <w:sz w:val="17"/>
          </w:rPr>
          <w:tab/>
        </w:r>
        <w:r>
          <w:rPr>
            <w:noProof/>
          </w:rPr>
          <w:fldChar w:fldCharType="begin"/>
        </w:r>
        <w:r>
          <w:rPr>
            <w:noProof/>
          </w:rPr>
          <w:instrText xml:space="preserve"> PAGEREF _RG0051 \h </w:instrText>
        </w:r>
        <w:r>
          <w:rPr>
            <w:noProof/>
          </w:rPr>
          <w:fldChar w:fldCharType="separate"/>
        </w:r>
        <w:r>
          <w:rPr>
            <w:noProof/>
            <w:sz w:val="17"/>
          </w:rPr>
          <w:t>25</w:t>
        </w:r>
        <w:r>
          <w:rPr>
            <w:noProof/>
          </w:rPr>
          <w:fldChar w:fldCharType="end"/>
        </w:r>
      </w:hyperlink>
    </w:p>
    <w:p>
      <w:pPr>
        <w:pStyle w:val="TOC1"/>
        <w:tabs>
          <w:tab w:val="right" w:leader="dot" w:pos="9746"/>
        </w:tabs>
        <w:spacing w:after="12" w:line="240" w:lineRule="auto"/>
        <w:rPr>
          <w:noProof/>
        </w:rPr>
      </w:pPr>
      <w:hyperlink w:anchor="_RG0052" w:history="1">
        <w:r>
          <w:rPr>
            <w:noProof/>
            <w:sz w:val="17"/>
          </w:rPr>
          <w:t xml:space="preserve">Appendix G.  Sign-off and acceptance record</w:t>
        </w:r>
        <w:r>
          <w:rPr>
            <w:noProof/>
            <w:sz w:val="17"/>
          </w:rPr>
          <w:tab/>
        </w:r>
        <w:r>
          <w:rPr>
            <w:noProof/>
          </w:rPr>
          <w:fldChar w:fldCharType="begin"/>
        </w:r>
        <w:r>
          <w:rPr>
            <w:noProof/>
          </w:rPr>
          <w:instrText xml:space="preserve"> PAGEREF _RG0052 \h </w:instrText>
        </w:r>
        <w:r>
          <w:rPr>
            <w:noProof/>
          </w:rPr>
          <w:fldChar w:fldCharType="separate"/>
        </w:r>
        <w:r>
          <w:rPr>
            <w:noProof/>
            <w:sz w:val="17"/>
          </w:rPr>
          <w:t>25</w:t>
        </w:r>
        <w:r>
          <w:rPr>
            <w:noProof/>
          </w:rPr>
          <w:fldChar w:fldCharType="end"/>
        </w:r>
      </w:hyperlink>
    </w:p>
    <w:p>
      <w:pPr>
        <w:pStyle w:val="TOC1"/>
        <w:tabs>
          <w:tab w:val="right" w:leader="dot" w:pos="9746"/>
        </w:tabs>
        <w:spacing w:after="12" w:line="240" w:lineRule="auto"/>
        <w:rPr>
          <w:noProof/>
        </w:rPr>
      </w:pPr>
      <w:hyperlink w:anchor="_RG0053" w:history="1">
        <w:r>
          <w:rPr>
            <w:noProof/>
            <w:sz w:val="17"/>
          </w:rPr>
          <w:t xml:space="preserve">Appendix H.  Review log</w:t>
        </w:r>
        <w:r>
          <w:rPr>
            <w:noProof/>
            <w:sz w:val="17"/>
          </w:rPr>
          <w:tab/>
        </w:r>
        <w:r>
          <w:rPr>
            <w:noProof/>
          </w:rPr>
          <w:fldChar w:fldCharType="begin"/>
        </w:r>
        <w:r>
          <w:rPr>
            <w:noProof/>
          </w:rPr>
          <w:instrText xml:space="preserve"> PAGEREF _RG0053 \h </w:instrText>
        </w:r>
        <w:r>
          <w:rPr>
            <w:noProof/>
          </w:rPr>
          <w:fldChar w:fldCharType="separate"/>
        </w:r>
        <w:r>
          <w:rPr>
            <w:noProof/>
            <w:sz w:val="17"/>
          </w:rPr>
          <w:t>26</w:t>
        </w:r>
        <w:r>
          <w:rPr>
            <w:noProof/>
          </w:rPr>
          <w:fldChar w:fldCharType="end"/>
        </w:r>
      </w:hyperlink>
    </w:p>
    <w:p>
      <w:pPr>
        <w:pStyle w:val="TOC1"/>
        <w:tabs>
          <w:tab w:val="right" w:leader="dot" w:pos="9746"/>
        </w:tabs>
        <w:spacing w:after="12" w:line="240" w:lineRule="auto"/>
        <w:rPr>
          <w:noProof/>
        </w:rPr>
      </w:pPr>
      <w:hyperlink w:anchor="_RG0054" w:history="1">
        <w:r>
          <w:rPr>
            <w:noProof/>
            <w:sz w:val="17"/>
          </w:rPr>
          <w:t xml:space="preserve">Appendix I.  Guidance: worked example for a new HR system</w:t>
        </w:r>
        <w:r>
          <w:rPr>
            <w:noProof/>
            <w:sz w:val="17"/>
          </w:rPr>
          <w:tab/>
        </w:r>
        <w:r>
          <w:rPr>
            <w:noProof/>
          </w:rPr>
          <w:fldChar w:fldCharType="begin"/>
        </w:r>
        <w:r>
          <w:rPr>
            <w:noProof/>
          </w:rPr>
          <w:instrText xml:space="preserve"> PAGEREF _RG0054 \h </w:instrText>
        </w:r>
        <w:r>
          <w:rPr>
            <w:noProof/>
          </w:rPr>
          <w:fldChar w:fldCharType="separate"/>
        </w:r>
        <w:r>
          <w:rPr>
            <w:noProof/>
            <w:sz w:val="17"/>
          </w:rPr>
          <w:t>26</w:t>
        </w:r>
        <w:r>
          <w:rPr>
            <w:noProof/>
          </w:rPr>
          <w:fldChar w:fldCharType="end"/>
        </w:r>
      </w:hyperlink>
    </w:p>
    <w:p>
      <w:pPr>
        <w:pStyle w:val="TOC1"/>
        <w:tabs>
          <w:tab w:val="right" w:leader="dot" w:pos="9746"/>
        </w:tabs>
        <w:spacing w:after="12" w:line="240" w:lineRule="auto"/>
        <w:rPr>
          <w:noProof/>
        </w:rPr>
      </w:pPr>
      <w:hyperlink w:anchor="_RG0055" w:history="1">
        <w:r>
          <w:rPr>
            <w:noProof/>
            <w:sz w:val="17"/>
          </w:rPr>
          <w:t xml:space="preserve">Appendix J.  Guidance for adoption</w:t>
        </w:r>
        <w:r>
          <w:rPr>
            <w:noProof/>
            <w:sz w:val="17"/>
          </w:rPr>
          <w:tab/>
        </w:r>
        <w:r>
          <w:rPr>
            <w:noProof/>
          </w:rPr>
          <w:fldChar w:fldCharType="begin"/>
        </w:r>
        <w:r>
          <w:rPr>
            <w:noProof/>
          </w:rPr>
          <w:instrText xml:space="preserve"> PAGEREF _RG0055 \h </w:instrText>
        </w:r>
        <w:r>
          <w:rPr>
            <w:noProof/>
          </w:rPr>
          <w:fldChar w:fldCharType="separate"/>
        </w:r>
        <w:r>
          <w:rPr>
            <w:noProof/>
            <w:sz w:val="17"/>
          </w:rPr>
          <w:t>28</w:t>
        </w:r>
        <w:r>
          <w:rPr>
            <w:noProof/>
          </w:rPr>
          <w:fldChar w:fldCharType="end"/>
        </w:r>
      </w:hyperlink>
    </w:p>
    <w:p>
      <w:pPr>
        <w:pStyle w:val="TOC1"/>
        <w:tabs>
          <w:tab w:val="right" w:leader="dot" w:pos="9746"/>
        </w:tabs>
        <w:spacing w:after="12" w:line="240" w:lineRule="auto"/>
        <w:rPr>
          <w:noProof/>
        </w:rPr>
      </w:pPr>
      <w:hyperlink w:anchor="_RG0056" w:history="1">
        <w:r>
          <w:rPr>
            <w:noProof/>
            <w:sz w:val="17"/>
          </w:rPr>
          <w:t xml:space="preserve">Glossary</w:t>
        </w:r>
        <w:r>
          <w:rPr>
            <w:noProof/>
            <w:sz w:val="17"/>
          </w:rPr>
          <w:tab/>
        </w:r>
        <w:r>
          <w:rPr>
            <w:noProof/>
          </w:rPr>
          <w:fldChar w:fldCharType="begin"/>
        </w:r>
        <w:r>
          <w:rPr>
            <w:noProof/>
          </w:rPr>
          <w:instrText xml:space="preserve"> PAGEREF _RG0056 \h </w:instrText>
        </w:r>
        <w:r>
          <w:rPr>
            <w:noProof/>
          </w:rPr>
          <w:fldChar w:fldCharType="separate"/>
        </w:r>
        <w:r>
          <w:rPr>
            <w:noProof/>
            <w:sz w:val="17"/>
          </w:rPr>
          <w:t>29</w:t>
        </w:r>
        <w:r>
          <w:rPr>
            <w:noProof/>
          </w:rPr>
          <w:fldChar w:fldCharType="end"/>
        </w:r>
      </w:hyperlink>
    </w:p>
    <w:p>
      <w:pPr>
        <w:pStyle w:val="TOC1"/>
        <w:tabs>
          <w:tab w:val="right" w:leader="dot" w:pos="9746"/>
        </w:tabs>
        <w:spacing w:after="12" w:line="240" w:lineRule="auto"/>
        <w:rPr>
          <w:noProof/>
        </w:rPr>
      </w:pPr>
      <w:hyperlink w:anchor="_RG0059" w:history="1">
        <w:r>
          <w:rPr>
            <w:noProof/>
            <w:sz w:val="17"/>
          </w:rPr>
          <w:t xml:space="preserve">Record of changes</w:t>
        </w:r>
        <w:r>
          <w:rPr>
            <w:noProof/>
            <w:sz w:val="17"/>
          </w:rPr>
          <w:tab/>
        </w:r>
        <w:r>
          <w:rPr>
            <w:noProof/>
          </w:rPr>
          <w:fldChar w:fldCharType="begin"/>
        </w:r>
        <w:r>
          <w:rPr>
            <w:noProof/>
          </w:rPr>
          <w:instrText xml:space="preserve"> PAGEREF _RG0059 \h </w:instrText>
        </w:r>
        <w:r>
          <w:rPr>
            <w:noProof/>
          </w:rPr>
          <w:fldChar w:fldCharType="separate"/>
        </w:r>
        <w:r>
          <w:rPr>
            <w:noProof/>
            <w:sz w:val="17"/>
          </w:rPr>
          <w:t>29</w:t>
        </w:r>
        <w:r>
          <w:rPr>
            <w:noProof/>
          </w:rPr>
          <w:fldChar w:fldCharType="end"/>
        </w:r>
      </w:hyperlink>
      <w:r>
        <w:rPr>
          <w:noProof/>
        </w:rPr>
        <w:fldChar w:fldCharType="end"/>
      </w:r>
    </w:p>
    <w:p>
      <w:pPr>
        <w:pStyle w:val="Heading1"/>
        <w:keepNext/>
        <w:keepLines/>
        <w:pageBreakBefore/>
        <w:pBdr>
          <w:bottom w:val="single" w:color="D4DAE0" w:sz="4" w:space="4"/>
        </w:pBdr>
        <w:spacing w:after="140" w:before="300"/>
      </w:pPr>
      <w:bookmarkStart w:name="_RG0001" w:id="1"/>
      <w:r>
        <w:t xml:space="preserve">Executive summary</w:t>
      </w:r>
      <w:bookmarkEnd w:id="1"/>
    </w:p>
    <w:p>
      <w:pPr>
        <w:keepNext/>
        <w:spacing w:after="70" w:before="200"/>
      </w:pPr>
      <w:r>
        <w:rPr>
          <w:b/>
          <w:bCs/>
          <w:color w:val="2E5C7A"/>
          <w:sz w:val="17"/>
          <w:szCs w:val="17"/>
        </w:rPr>
        <w:t xml:space="preserve">WHY THIS IS WORTH A DOCUMENT OF ITS OWN</w:t>
      </w:r>
    </w:p>
    <w:p>
      <w:pPr>
        <w:spacing w:after="130" w:line="262"/>
      </w:pPr>
      <w:r>
        <w:t xml:space="preserve">Most impact assessments fail in the same place. They describe the project well, list a dozen generic risks, mark every one as mitigated, and are signed by the person who wanted the project approved. A year later, when a complaint, a breach or a regulator asks why the processing went ahead, nobody can say which risk was left over, how large it was, or who decided it was acceptable.</w:t>
      </w:r>
    </w:p>
    <w:p>
      <w:pPr>
        <w:spacing w:after="130" w:line="262"/>
      </w:pPr>
      <w:r>
        <w:t xml:space="preserve">This template is built to close that gap. Every assessment starts from the record of processing rather than from a blank page, rates each risk from the point of view of the people whose data is processed, rates it again after the controls that actually exist, and ends with each remaining risk accepted by a named person with the authority to accept it. The result is a record the accountable person can defend line by line long after the project team has moved on.</w:t>
      </w:r>
    </w:p>
    <w:p>
      <w:pPr>
        <w:keepNext/>
        <w:spacing w:after="70" w:before="200"/>
      </w:pPr>
      <w:r>
        <w:rPr>
          <w:b/>
          <w:bCs/>
          <w:color w:val="2E5C7A"/>
          <w:sz w:val="17"/>
          <w:szCs w:val="17"/>
        </w:rPr>
        <w:t xml:space="preserve">WHAT THIS DOCUMENT CONTAINS</w:t>
      </w:r>
    </w:p>
    <w:p>
      <w:pPr>
        <w:spacing w:after="130" w:line="262"/>
      </w:pPr>
      <w:r>
        <w:t xml:space="preserve">Sections 1 to 14 set out the method: when an assessment is required, how the processing is described, how necessity and proportionality are tested, who is consulted, how risks are identified and scored on a defined scale, how controls and residual risk are recorded, who may accept which level of residual risk, when the supervisory authority or regulator must be consulted before processing begins, and when the assessment is reviewed.</w:t>
      </w:r>
    </w:p>
    <w:p>
      <w:pPr>
        <w:spacing w:after="130" w:line="262"/>
      </w:pPr>
      <w:r>
        <w:t xml:space="preserve">Appendices A to H are the form itself: the screening checklist, the processing description, the necessity and proportionality record, the consultation record, the risk register, the action plan, the sign-off and acceptance record and the review log. Appendix I is a worked example for a new HR system with three risks filled in. Appendix J is advice on adopting the template.</w:t>
      </w:r>
    </w:p>
    <w:p>
      <w:pPr>
        <w:keepNext/>
        <w:spacing w:after="70" w:before="200"/>
      </w:pPr>
      <w:r>
        <w:rPr>
          <w:b/>
          <w:bCs/>
          <w:color w:val="2E5C7A"/>
          <w:sz w:val="17"/>
          <w:szCs w:val="17"/>
        </w:rPr>
        <w:t xml:space="preserve">WHO THIS DOCUMENT IS FOR</w:t>
      </w:r>
    </w:p>
    <w:p>
      <w:pPr>
        <w:spacing w:after="130" w:line="262"/>
      </w:pPr>
      <w:r>
        <w:t xml:space="preserve">The person who has been asked to run impact assessments in an organization of roughly 20 to 2,000 staff, often a privacy lead, compliance owner, IT manager or operations lead without a dedicated privacy team. It is written to be regime-neutral. It meets the structure required by Article 35 of the EU and UK GDPR and the comparable data protection assessment and risk assessment duties in United States state privacy laws, and it refers throughout to the applicable data protection law so that the reader can apply it to whichever regime governs the processing.</w:t>
      </w:r>
    </w:p>
    <w:p>
      <w:pPr>
        <w:keepNext/>
        <w:spacing w:after="70" w:before="200"/>
      </w:pPr>
      <w:r>
        <w:rPr>
          <w:b/>
          <w:bCs/>
          <w:color w:val="2E5C7A"/>
          <w:sz w:val="17"/>
          <w:szCs w:val="17"/>
        </w:rPr>
        <w:t xml:space="preserve">WHAT IT IS NOT</w:t>
      </w:r>
    </w:p>
    <w:p>
      <w:pPr>
        <w:spacing w:after="130" w:line="262"/>
      </w:pPr>
      <w:r>
        <w:t xml:space="preserve">It is not legal advice and it does not decide which law applies, which lawful basis is correct, or whether a given regulator's specific content requirements are met in full. Where a law prescribes particular content, such as a list of mandatory elements or a format for submission, that law governs and this template is extended to match it. Section 16 states its limits plainly.</w:t>
      </w:r>
    </w:p>
    <w:p>
      <w:pPr>
        <w:pStyle w:val="Heading1"/>
        <w:keepNext/>
        <w:keepLines/>
        <w:pageBreakBefore/>
        <w:pBdr>
          <w:bottom w:val="single" w:color="D4DAE0" w:sz="4" w:space="4"/>
        </w:pBdr>
        <w:spacing w:after="140" w:before="300"/>
      </w:pPr>
      <w:bookmarkStart w:name="_RG0002" w:id="1"/>
      <w:r>
        <w:t xml:space="preserve">1.  Purpose, scope and application</w:t>
      </w:r>
      <w:bookmarkEnd w:id="1"/>
    </w:p>
    <w:p>
      <w:pPr>
        <w:spacing w:after="130" w:line="262"/>
      </w:pPr>
      <w:r>
        <w:t xml:space="preserve">This template defines how the organization assesses the impact of a processing activity on the people whose personal data it processes, before that processing begins and whenever it changes materially. It provides a single method that satisfies the impact assessment duties of the applicable data protection law and produces a record that demonstrates the assessment was carried out, what it found and who accepted the risk that remained.</w:t>
      </w:r>
    </w:p>
    <w:p>
      <w:pPr>
        <w:spacing w:after="60" w:line="120"/>
      </w:pPr>
      <w:r>
        <w:rPr>
          <w:sz w:val="4"/>
          <w:szCs w:val="4"/>
        </w:rPr>
        <w:t xml:space="preserve"/>
      </w:r>
    </w:p>
    <w:p>
      <w:pPr>
        <w:pStyle w:val="Heading2"/>
        <w:keepNext/>
        <w:keepLines/>
        <w:spacing w:after="90" w:before="220"/>
      </w:pPr>
      <w:bookmarkStart w:name="_RG0003" w:id="1"/>
      <w:r>
        <w:t xml:space="preserve">1.1  Scope</w:t>
      </w:r>
      <w:bookmarkEnd w:id="1"/>
    </w:p>
    <w:p>
      <w:pPr>
        <w:spacing w:after="130" w:line="262"/>
      </w:pPr>
      <w:r>
        <w:t xml:space="preserve">This template applies to every new processing activity, project, system, supplier engagement or change to an existing activity that involves personal data, where the screening in Section 4 indicates that an assessment is required or advisable. It applies to processing carried out by the organization as controller, including processing carried out on its behalf by processors. It applies equally to processing of personal data about customers, employees, job applicants, contractors, website visitors and any other individual.</w:t>
      </w:r>
    </w:p>
    <w:p>
      <w:pPr>
        <w:spacing w:after="130" w:line="262"/>
      </w:pPr>
      <w:r>
        <w:t xml:space="preserve">Where the organization acts only as a processor for another controller, the controller is responsible for the assessment. The organization provides the controller with the information it needs about the processing it performs and the security measures it applies, and records that it has done so.</w:t>
      </w:r>
    </w:p>
    <w:p>
      <w:pPr>
        <w:spacing w:after="60" w:line="120"/>
      </w:pPr>
      <w:r>
        <w:rPr>
          <w:sz w:val="4"/>
          <w:szCs w:val="4"/>
        </w:rPr>
        <w:t xml:space="preserve"/>
      </w:r>
    </w:p>
    <w:p>
      <w:pPr>
        <w:pStyle w:val="Heading2"/>
        <w:keepNext/>
        <w:keepLines/>
        <w:spacing w:after="90" w:before="220"/>
      </w:pPr>
      <w:bookmarkStart w:name="_RG0004" w:id="1"/>
      <w:r>
        <w:t xml:space="preserve">1.2  Relationship to the record of processing</w:t>
      </w:r>
      <w:bookmarkEnd w:id="1"/>
    </w:p>
    <w:p>
      <w:pPr>
        <w:spacing w:after="130" w:line="262"/>
      </w:pPr>
      <w:r>
        <w:t xml:space="preserve">The assessment is built from the organization's record of processing activities. The description of processing in Section 5 is drawn from the entry for the activity in that record, and any fact established during the assessment that differs from the record is corrected in the record within 10 working days of sign-off. Where no record entry exists for the activity, the entry is created as the first step of the assessment. An assessment that describes processing differently from the record is not signed off until the two agree.</w:t>
      </w:r>
    </w:p>
    <w:p>
      <w:pPr>
        <w:spacing w:after="60" w:line="120"/>
      </w:pPr>
      <w:r>
        <w:rPr>
          <w:sz w:val="4"/>
          <w:szCs w:val="4"/>
        </w:rPr>
        <w:t xml:space="preserve"/>
      </w:r>
    </w:p>
    <w:p>
      <w:pPr>
        <w:pStyle w:val="Heading2"/>
        <w:keepNext/>
        <w:keepLines/>
        <w:spacing w:after="90" w:before="220"/>
      </w:pPr>
      <w:bookmarkStart w:name="_RG0005" w:id="1"/>
      <w:r>
        <w:t xml:space="preserve">1.3  How the applicable data protection law is used</w:t>
      </w:r>
      <w:bookmarkEnd w:id="1"/>
    </w:p>
    <w:p>
      <w:pPr>
        <w:spacing w:after="130" w:line="262"/>
      </w:pPr>
      <w:r>
        <w:t xml:space="preserve">Requirements in this template refer to the applicable data protection law: the law or laws that govern the processing being assessed, determined by where the organization is established, where the individuals are, and what the processing is. The organization identifies the applicable data protection law for each assessment in Appendix B and records any content requirement that law adds beyond this template. The following provisions are examples of the duties this template is designed to meet.</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2533"/>
        <w:gridCol w:w="5069"/>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Regime</w:t>
            </w:r>
          </w:p>
        </w:tc>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Duty</w:t>
            </w:r>
          </w:p>
        </w:tc>
        <w:tc>
          <w:tcPr>
            <w:tcW w:type="dxa" w:w="50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What it requires of the assessment</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EU GDPR and UK GDPR, Article 35</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Carry out an assessment before processing that is likely to result in a high risk to the rights and freedoms of individuals</w:t>
            </w:r>
          </w:p>
        </w:tc>
        <w:tc>
          <w:tcPr>
            <w:tcW w:type="dxa" w:w="5069"/>
            <w:shd w:fill="FFFFFF" w:color="auto" w:val="clear"/>
            <w:tcMar>
              <w:top w:type="dxa" w:w="70"/>
              <w:left w:type="dxa" w:w="100"/>
              <w:bottom w:type="dxa" w:w="70"/>
              <w:right w:type="dxa" w:w="100"/>
            </w:tcMar>
            <w:vAlign w:val="top"/>
          </w:tcPr>
          <w:p>
            <w:pPr>
              <w:spacing w:after="0" w:before="0" w:line="252"/>
            </w:pPr>
            <w:r>
              <w:rPr>
                <w:sz w:val="17"/>
                <w:szCs w:val="17"/>
              </w:rPr>
              <w:t xml:space="preserve">At minimum: a systematic description of the processing and its purposes, including any legitimate interest pursued; an assessment of necessity and proportionality; an assessment of the risks to the rights and freedoms of data subjects; and the measures envisaged to address those risks. The controller seeks the advice of the data protection officer where one is designated, seeks the views of data subjects or their representatives where appropriate, and reviews the assessment at least when the risk represented by the processing changes.</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EU GDPR and UK GDPR, Article 36</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Prior consultation</w:t>
            </w:r>
          </w:p>
        </w:tc>
        <w:tc>
          <w:tcPr>
            <w:tcW w:type="dxa" w:w="5069"/>
            <w:shd w:fill="F2F4F6" w:color="auto" w:val="clear"/>
            <w:tcMar>
              <w:top w:type="dxa" w:w="70"/>
              <w:left w:type="dxa" w:w="100"/>
              <w:bottom w:type="dxa" w:w="70"/>
              <w:right w:type="dxa" w:w="100"/>
            </w:tcMar>
            <w:vAlign w:val="top"/>
          </w:tcPr>
          <w:p>
            <w:pPr>
              <w:spacing w:after="0" w:before="0" w:line="252"/>
            </w:pPr>
            <w:r>
              <w:rPr>
                <w:sz w:val="17"/>
                <w:szCs w:val="17"/>
              </w:rPr>
              <w:t xml:space="preserve">Where the assessment indicates that the processing would result in a high risk in the absence of measures taken by the controller to mitigate it, the controller consults the supervisory authority before processing. In the UK the authority is the Information Commissioner. The authority has up to eight weeks from receipt of the request to give written advice, extendable by six weeks for complex processing.</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Colorado Privacy Act, C.R.S. 6-1-1309, and 4 CCR 904-3 Part 8</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Data protection assessment for processing that presents a heightened risk of harm to a consumer</w:t>
            </w:r>
          </w:p>
        </w:tc>
        <w:tc>
          <w:tcPr>
            <w:tcW w:type="dxa" w:w="5069"/>
            <w:shd w:fill="FFFFFF" w:color="auto" w:val="clear"/>
            <w:tcMar>
              <w:top w:type="dxa" w:w="70"/>
              <w:left w:type="dxa" w:w="100"/>
              <w:bottom w:type="dxa" w:w="70"/>
              <w:right w:type="dxa" w:w="100"/>
            </w:tcMar>
            <w:vAlign w:val="top"/>
          </w:tcPr>
          <w:p>
            <w:pPr>
              <w:spacing w:after="0" w:before="0" w:line="252"/>
            </w:pPr>
            <w:r>
              <w:rPr>
                <w:sz w:val="17"/>
                <w:szCs w:val="17"/>
              </w:rPr>
              <w:t xml:space="preserve">Heightened risk includes processing for targeted advertising or profiling that presents certain foreseeable risks, selling personal data, and processing sensitive data. The assessment identifies and weighs the benefits of the processing against the risks to the consumer, as mitigated by safeguards, and is made available to the Attorney General on request. The rules set minimum content and require the involvement of relevant internal actors and, where appropriate, external parties.</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California Consumer Privacy Act regulations on risk assessments, effective 1 January 2026</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Risk assessment before certain processing</w:t>
            </w:r>
          </w:p>
        </w:tc>
        <w:tc>
          <w:tcPr>
            <w:tcW w:type="dxa" w:w="5069"/>
            <w:shd w:fill="F2F4F6" w:color="auto" w:val="clear"/>
            <w:tcMar>
              <w:top w:type="dxa" w:w="70"/>
              <w:left w:type="dxa" w:w="100"/>
              <w:bottom w:type="dxa" w:w="70"/>
              <w:right w:type="dxa" w:w="100"/>
            </w:tcMar>
            <w:vAlign w:val="top"/>
          </w:tcPr>
          <w:p>
            <w:pPr>
              <w:spacing w:after="0" w:before="0" w:line="252"/>
            </w:pPr>
            <w:r>
              <w:rPr>
                <w:sz w:val="17"/>
                <w:szCs w:val="17"/>
              </w:rPr>
              <w:t xml:space="preserve">A business conducts a risk assessment before activities such as selling or sharing personal information, processing sensitive personal information, and using or training certain automated technologies. The regulations set content, timing and submission requirements, which are checked against the current regulation text when the assessment is scoped.</w:t>
            </w:r>
          </w:p>
        </w:tc>
      </w:tr>
    </w:tbl>
    <w:p>
      <w:pPr>
        <w:spacing w:after="120" w:line="120"/>
      </w:pPr>
      <w:r>
        <w:rPr>
          <w:sz w:val="4"/>
          <w:szCs w:val="4"/>
        </w:rPr>
        <w:t xml:space="preserve"/>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WHERE A LAW ASKS FOR MORE</w:t>
            </w:r>
          </w:p>
          <w:p>
            <w:pPr>
              <w:spacing w:after="0" w:line="262"/>
            </w:pPr>
            <w:r>
              <w:t xml:space="preserve">Where the applicable data protection law prescribes content that this template does not hold, the assessment adds it as a further section of Appendix B or Appendix E rather than recording it elsewhere. One assessment record per processing activity, holding everything any applicable law asks for, is easier to defend than several partial ones.</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06" w:id="1"/>
      <w:r>
        <w:t xml:space="preserve">2.  Principles</w:t>
      </w:r>
      <w:bookmarkEnd w:id="1"/>
    </w:p>
    <w:p>
      <w:pPr>
        <w:spacing w:after="130" w:line="262"/>
      </w:pPr>
      <w:r>
        <w:t xml:space="preserve">Every assessment carried out under this template follows these principles. A reviewer who finds an assessment that departs from one of them returns it to the project owner before sign-off.</w:t>
      </w:r>
    </w:p>
    <w:p>
      <w:pPr>
        <w:keepNext/>
        <w:keepLines/>
        <w:pBdr>
          <w:top w:val="single" w:color="D4DAE0" w:sz="4" w:space="9"/>
        </w:pBdr>
        <w:spacing w:after="46" w:before="110"/>
      </w:pPr>
      <w:r>
        <w:rPr>
          <w:b/>
          <w:bCs/>
          <w:color w:val="2E5C7A"/>
          <w:sz w:val="21"/>
          <w:szCs w:val="21"/>
        </w:rPr>
        <w:t xml:space="preserve">Before, not after</w:t>
      </w:r>
    </w:p>
    <w:p>
      <w:pPr>
        <w:spacing w:after="62" w:line="262"/>
        <w:ind w:left="172"/>
      </w:pPr>
      <w:r>
        <w:t xml:space="preserve">The assessment is completed and signed off before the processing begins. Where a project is already live when the need for an assessment is recognized, the assessment is completed within 30 days and the delay and its reason are recorded in Appendix G.</w:t>
      </w:r>
    </w:p>
    <w:p>
      <w:pPr>
        <w:keepNext/>
        <w:keepLines/>
        <w:pBdr>
          <w:top w:val="single" w:color="D4DAE0" w:sz="4" w:space="9"/>
        </w:pBdr>
        <w:spacing w:after="46" w:before="170"/>
      </w:pPr>
      <w:r>
        <w:rPr>
          <w:b/>
          <w:bCs/>
          <w:color w:val="2E5C7A"/>
          <w:sz w:val="21"/>
          <w:szCs w:val="21"/>
        </w:rPr>
        <w:t xml:space="preserve">Built from the record</w:t>
      </w:r>
    </w:p>
    <w:p>
      <w:pPr>
        <w:spacing w:after="62" w:line="262"/>
        <w:ind w:left="172"/>
      </w:pPr>
      <w:r>
        <w:t xml:space="preserve">The description of processing comes from the record of processing and from the systems themselves, not from a project proposal. A data category, recipient or transfer that is in the system but not in the assessment is a defect in the assessment.</w:t>
      </w:r>
    </w:p>
    <w:p>
      <w:pPr>
        <w:keepNext/>
        <w:keepLines/>
        <w:pBdr>
          <w:top w:val="single" w:color="D4DAE0" w:sz="4" w:space="9"/>
        </w:pBdr>
        <w:spacing w:after="46" w:before="170"/>
      </w:pPr>
      <w:r>
        <w:rPr>
          <w:b/>
          <w:bCs/>
          <w:color w:val="2E5C7A"/>
          <w:sz w:val="21"/>
          <w:szCs w:val="21"/>
        </w:rPr>
        <w:t xml:space="preserve">Risk to the individual</w:t>
      </w:r>
    </w:p>
    <w:p>
      <w:pPr>
        <w:spacing w:after="62" w:line="262"/>
        <w:ind w:left="172"/>
      </w:pPr>
      <w:r>
        <w:t xml:space="preserve">Risks are identified and rated by their impact on the people whose data is processed: their rights, freedoms, finances, safety, reputation, opportunities and control over their information. Risk to the organization, such as fines or reputational damage, may be noted, but it does not set the rating.</w:t>
      </w:r>
    </w:p>
    <w:p>
      <w:pPr>
        <w:keepNext/>
        <w:keepLines/>
        <w:pBdr>
          <w:top w:val="single" w:color="D4DAE0" w:sz="4" w:space="9"/>
        </w:pBdr>
        <w:spacing w:after="46" w:before="170"/>
      </w:pPr>
      <w:r>
        <w:rPr>
          <w:b/>
          <w:bCs/>
          <w:color w:val="2E5C7A"/>
          <w:sz w:val="21"/>
          <w:szCs w:val="21"/>
        </w:rPr>
        <w:t xml:space="preserve">Controls that exist</w:t>
      </w:r>
    </w:p>
    <w:p>
      <w:pPr>
        <w:spacing w:after="62" w:line="262"/>
        <w:ind w:left="172"/>
      </w:pPr>
      <w:r>
        <w:t xml:space="preserve">Residual risk is rated on the controls that are in place and operating, or that are committed with a named owner and a date before processing begins. A control that is planned without an owner or a date does not reduce the residual rating.</w:t>
      </w:r>
    </w:p>
    <w:p>
      <w:pPr>
        <w:keepNext/>
        <w:keepLines/>
        <w:pBdr>
          <w:top w:val="single" w:color="D4DAE0" w:sz="4" w:space="9"/>
        </w:pBdr>
        <w:spacing w:after="46" w:before="170"/>
      </w:pPr>
      <w:r>
        <w:rPr>
          <w:b/>
          <w:bCs/>
          <w:color w:val="2E5C7A"/>
          <w:sz w:val="21"/>
          <w:szCs w:val="21"/>
        </w:rPr>
        <w:t xml:space="preserve">Named acceptance</w:t>
      </w:r>
    </w:p>
    <w:p>
      <w:pPr>
        <w:spacing w:after="62" w:line="262"/>
        <w:ind w:left="172"/>
      </w:pPr>
      <w:r>
        <w:t xml:space="preserve">Every residual risk is accepted by a named individual with the authority set in Section 11 for that level of risk. A committee may advise; a person accepts.</w:t>
      </w:r>
    </w:p>
    <w:p>
      <w:pPr>
        <w:keepNext/>
        <w:keepLines/>
        <w:pBdr>
          <w:top w:val="single" w:color="D4DAE0" w:sz="4" w:space="9"/>
        </w:pBdr>
        <w:spacing w:after="46" w:before="170"/>
      </w:pPr>
      <w:r>
        <w:rPr>
          <w:b/>
          <w:bCs/>
          <w:color w:val="2E5C7A"/>
          <w:sz w:val="21"/>
          <w:szCs w:val="21"/>
        </w:rPr>
        <w:t xml:space="preserve">Written to be defended</w:t>
      </w:r>
    </w:p>
    <w:p>
      <w:pPr>
        <w:spacing w:after="62" w:line="262"/>
        <w:ind w:left="172"/>
      </w:pPr>
      <w:r>
        <w:t xml:space="preserve">Every rating states the reason for it in a sentence a reader outside the project can follow. An assessment that a new accountable person could not defend a year later, using only what is written in it, is incomplete.</w:t>
      </w:r>
    </w:p>
    <w:p>
      <w:pPr>
        <w:keepNext/>
        <w:keepLines/>
        <w:pBdr>
          <w:top w:val="single" w:color="D4DAE0" w:sz="4" w:space="9"/>
        </w:pBdr>
        <w:spacing w:after="46" w:before="170"/>
      </w:pPr>
      <w:r>
        <w:rPr>
          <w:b/>
          <w:bCs/>
          <w:color w:val="2E5C7A"/>
          <w:sz w:val="21"/>
          <w:szCs w:val="21"/>
        </w:rPr>
        <w:t xml:space="preserve">Proportionate</w:t>
      </w:r>
    </w:p>
    <w:p>
      <w:pPr>
        <w:spacing w:after="62" w:line="262"/>
        <w:ind w:left="172"/>
      </w:pPr>
      <w:r>
        <w:t xml:space="preserve">The depth of the assessment matches the risk. A low-risk activity that passes screening with a clear negative result is recorded in Appendix A and goes no further. A high-risk activity receives the full method.</w:t>
      </w:r>
    </w:p>
    <w:p>
      <w:pPr>
        <w:spacing w:after="60" w:line="120"/>
      </w:pPr>
      <w:r>
        <w:rPr>
          <w:sz w:val="4"/>
          <w:szCs w:val="4"/>
        </w:rPr>
        <w:t xml:space="preserve"/>
      </w:r>
    </w:p>
    <w:p>
      <w:pPr>
        <w:pStyle w:val="Heading1"/>
        <w:keepNext/>
        <w:keepLines/>
        <w:pBdr>
          <w:bottom w:val="single" w:color="D4DAE0" w:sz="4" w:space="4"/>
        </w:pBdr>
        <w:spacing w:after="140" w:before="300"/>
      </w:pPr>
      <w:bookmarkStart w:name="_RG0007" w:id="1"/>
      <w:r>
        <w:t xml:space="preserve">3.  Roles and responsibilities</w:t>
      </w:r>
      <w:bookmarkEnd w:id="1"/>
    </w:p>
    <w:p>
      <w:pPr>
        <w:keepNext/>
        <w:keepLines/>
        <w:pBdr>
          <w:top w:val="single" w:color="D4DAE0" w:sz="4" w:space="9"/>
        </w:pBdr>
        <w:spacing w:after="46" w:before="110"/>
      </w:pPr>
      <w:r>
        <w:rPr>
          <w:b/>
          <w:bCs/>
          <w:color w:val="2E5C7A"/>
          <w:sz w:val="21"/>
          <w:szCs w:val="21"/>
        </w:rPr>
        <w:t xml:space="preserve">Controller (senior accountable owner)</w:t>
      </w:r>
    </w:p>
    <w:p>
      <w:pPr>
        <w:spacing w:after="62" w:line="262"/>
        <w:ind w:left="172"/>
      </w:pPr>
      <w:r>
        <w:t xml:space="preserve">The organization is the controller. Within it, the senior accountable owner is the executive who owns the business purpose the processing serves. The senior accountable owner accepts medium residual risks, approves or rejects the processing where any high residual risk remains, and decides whether the supervisory authority or regulator is consulted under Section 12.</w:t>
      </w:r>
    </w:p>
    <w:p>
      <w:pPr>
        <w:keepNext/>
        <w:keepLines/>
        <w:pBdr>
          <w:top w:val="single" w:color="D4DAE0" w:sz="4" w:space="9"/>
        </w:pBdr>
        <w:spacing w:after="46" w:before="170"/>
      </w:pPr>
      <w:r>
        <w:rPr>
          <w:b/>
          <w:bCs/>
          <w:color w:val="2E5C7A"/>
          <w:sz w:val="21"/>
          <w:szCs w:val="21"/>
        </w:rPr>
        <w:t xml:space="preserve">Data protection officer or privacy lead</w:t>
      </w:r>
    </w:p>
    <w:p>
      <w:pPr>
        <w:spacing w:after="62" w:line="262"/>
        <w:ind w:left="172"/>
      </w:pPr>
      <w:r>
        <w:t xml:space="preserve">Advises on whether an assessment is required, on the lawful basis, on necessity and proportionality, on the ratings and on whether the processing can proceed. Records that advice in Appendix G in their own words. Does not accept risk, approve the processing or complete the assessment on the project's behalf, so that the advice remains independent of the decision. Where the organization has not designated a data protection officer, the privacy lead holds this role.</w:t>
      </w:r>
    </w:p>
    <w:p>
      <w:pPr>
        <w:keepNext/>
        <w:keepLines/>
        <w:pBdr>
          <w:top w:val="single" w:color="D4DAE0" w:sz="4" w:space="9"/>
        </w:pBdr>
        <w:spacing w:after="46" w:before="170"/>
      </w:pPr>
      <w:r>
        <w:rPr>
          <w:b/>
          <w:bCs/>
          <w:color w:val="2E5C7A"/>
          <w:sz w:val="21"/>
          <w:szCs w:val="21"/>
        </w:rPr>
        <w:t xml:space="preserve">Project owner</w:t>
      </w:r>
    </w:p>
    <w:p>
      <w:pPr>
        <w:spacing w:after="62" w:line="262"/>
        <w:ind w:left="172"/>
      </w:pPr>
      <w:r>
        <w:t xml:space="preserve">Owns the assessment. Completes Appendices B to F with input from the people named in Section 7, keeps the assessment consistent with the project as it changes, accepts low residual risks, and owns the action plan until every action is closed.</w:t>
      </w:r>
    </w:p>
    <w:p>
      <w:pPr>
        <w:keepNext/>
        <w:keepLines/>
        <w:pBdr>
          <w:top w:val="single" w:color="D4DAE0" w:sz="4" w:space="9"/>
        </w:pBdr>
        <w:spacing w:after="46" w:before="170"/>
      </w:pPr>
      <w:r>
        <w:rPr>
          <w:b/>
          <w:bCs/>
          <w:color w:val="2E5C7A"/>
          <w:sz w:val="21"/>
          <w:szCs w:val="21"/>
        </w:rPr>
        <w:t xml:space="preserve">Information security</w:t>
      </w:r>
    </w:p>
    <w:p>
      <w:pPr>
        <w:spacing w:after="62" w:line="262"/>
        <w:ind w:left="172"/>
      </w:pPr>
      <w:r>
        <w:t xml:space="preserve">Identifies the security threats to the data, specifies the technical and organizational controls that address them, confirms which of those controls exist and operate, and provides the evidence. Rates the likelihood element of each security risk jointly with the project owner.</w:t>
      </w:r>
    </w:p>
    <w:p>
      <w:pPr>
        <w:keepNext/>
        <w:keepLines/>
        <w:pBdr>
          <w:top w:val="single" w:color="D4DAE0" w:sz="4" w:space="9"/>
        </w:pBdr>
        <w:spacing w:after="46" w:before="170"/>
      </w:pPr>
      <w:r>
        <w:rPr>
          <w:b/>
          <w:bCs/>
          <w:color w:val="2E5C7A"/>
          <w:sz w:val="21"/>
          <w:szCs w:val="21"/>
        </w:rPr>
        <w:t xml:space="preserve">System or data owner</w:t>
      </w:r>
    </w:p>
    <w:p>
      <w:pPr>
        <w:spacing w:after="62" w:line="262"/>
        <w:ind w:left="172"/>
      </w:pPr>
      <w:r>
        <w:t xml:space="preserve">Confirms the data categories, data flows, retention settings, access model and integrations of each system in scope, and provides exports or configuration evidence where requested.</w:t>
      </w:r>
    </w:p>
    <w:p>
      <w:pPr>
        <w:keepNext/>
        <w:keepLines/>
        <w:pBdr>
          <w:top w:val="single" w:color="D4DAE0" w:sz="4" w:space="9"/>
        </w:pBdr>
        <w:spacing w:after="46" w:before="170"/>
      </w:pPr>
      <w:r>
        <w:rPr>
          <w:b/>
          <w:bCs/>
          <w:color w:val="2E5C7A"/>
          <w:sz w:val="21"/>
          <w:szCs w:val="21"/>
        </w:rPr>
        <w:t xml:space="preserve">Processor</w:t>
      </w:r>
    </w:p>
    <w:p>
      <w:pPr>
        <w:spacing w:after="62" w:line="262"/>
        <w:ind w:left="172"/>
      </w:pPr>
      <w:r>
        <w:t xml:space="preserve">Any third party that processes personal data on the organization's behalf. Provides the information the organization needs to complete the assessment, including the location of processing, its sub-processors, its security measures and its breach notification commitments, and assists with the assessment where the contract or the applicable data protection law requires it.</w:t>
      </w:r>
    </w:p>
    <w:p>
      <w:pPr>
        <w:keepNext/>
        <w:keepLines/>
        <w:pBdr>
          <w:top w:val="single" w:color="D4DAE0" w:sz="4" w:space="9"/>
        </w:pBdr>
        <w:spacing w:after="46" w:before="170"/>
      </w:pPr>
      <w:r>
        <w:rPr>
          <w:b/>
          <w:bCs/>
          <w:color w:val="2E5C7A"/>
          <w:sz w:val="21"/>
          <w:szCs w:val="21"/>
        </w:rPr>
        <w:t xml:space="preserve">Legal counsel</w:t>
      </w:r>
    </w:p>
    <w:p>
      <w:pPr>
        <w:spacing w:after="62" w:line="262"/>
        <w:ind w:left="172"/>
      </w:pPr>
      <w:r>
        <w:t xml:space="preserve">Consulted where the lawful basis is uncertain, where the processing involves a transfer to another jurisdiction that requires a transfer mechanism, or where a prior consultation is being considered.</w:t>
      </w:r>
    </w:p>
    <w:p>
      <w:pPr>
        <w:spacing w:after="130" w:line="262"/>
      </w:pPr>
      <w:r>
        <w:t xml:space="preserve">The following table states who is responsible (R), accountable (A), consulted (C) and informed (I) at each stage.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728"/>
        <w:gridCol w:w="1461"/>
        <w:gridCol w:w="1461"/>
        <w:gridCol w:w="1461"/>
        <w:gridCol w:w="1461"/>
        <w:gridCol w:w="1174"/>
      </w:tblGrid>
      <w:tr>
        <w:trPr>
          <w:cantSplit/>
          <w:tblHeader/>
        </w:trPr>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Stage</w:t>
            </w:r>
          </w:p>
        </w:tc>
        <w:tc>
          <w:tcPr>
            <w:tcW w:type="dxa" w:w="14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Project owner</w:t>
            </w:r>
          </w:p>
        </w:tc>
        <w:tc>
          <w:tcPr>
            <w:tcW w:type="dxa" w:w="14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DPO or privacy lead</w:t>
            </w:r>
          </w:p>
        </w:tc>
        <w:tc>
          <w:tcPr>
            <w:tcW w:type="dxa" w:w="14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Information security</w:t>
            </w:r>
          </w:p>
        </w:tc>
        <w:tc>
          <w:tcPr>
            <w:tcW w:type="dxa" w:w="14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Senior accountable owner</w:t>
            </w:r>
          </w:p>
        </w:tc>
        <w:tc>
          <w:tcPr>
            <w:tcW w:type="dxa" w:w="11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Processor</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Screening</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R</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A</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I</w:t>
            </w:r>
          </w:p>
        </w:tc>
        <w:tc>
          <w:tcPr>
            <w:tcW w:type="dxa" w:w="1174"/>
            <w:shd w:fill="FFFFFF" w:color="auto" w:val="clear"/>
            <w:tcMar>
              <w:top w:type="dxa" w:w="70"/>
              <w:left w:type="dxa" w:w="100"/>
              <w:bottom w:type="dxa" w:w="70"/>
              <w:right w:type="dxa" w:w="100"/>
            </w:tcMar>
            <w:vAlign w:val="top"/>
          </w:tcPr>
          <w:p>
            <w:pPr>
              <w:spacing w:after="0" w:before="0" w:line="252"/>
            </w:pPr>
            <w:r>
              <w:rPr>
                <w:sz w:val="17"/>
                <w:szCs w:val="17"/>
              </w:rPr>
              <w:t xml:space="preserve">I</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Describe processing</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R, A</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I</w:t>
            </w:r>
          </w:p>
        </w:tc>
        <w:tc>
          <w:tcPr>
            <w:tcW w:type="dxa" w:w="1174"/>
            <w:shd w:fill="F2F4F6" w:color="auto" w:val="clear"/>
            <w:tcMar>
              <w:top w:type="dxa" w:w="70"/>
              <w:left w:type="dxa" w:w="100"/>
              <w:bottom w:type="dxa" w:w="70"/>
              <w:right w:type="dxa" w:w="100"/>
            </w:tcMar>
            <w:vAlign w:val="top"/>
          </w:tcPr>
          <w:p>
            <w:pPr>
              <w:spacing w:after="0" w:before="0" w:line="252"/>
            </w:pPr>
            <w:r>
              <w:rPr>
                <w:sz w:val="17"/>
                <w:szCs w:val="17"/>
              </w:rPr>
              <w:t xml:space="preserve">C</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Necessity and proportionality</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R</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I</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A</w:t>
            </w:r>
          </w:p>
        </w:tc>
        <w:tc>
          <w:tcPr>
            <w:tcW w:type="dxa" w:w="1174"/>
            <w:shd w:fill="FFFFFF" w:color="auto" w:val="clear"/>
            <w:tcMar>
              <w:top w:type="dxa" w:w="70"/>
              <w:left w:type="dxa" w:w="100"/>
              <w:bottom w:type="dxa" w:w="70"/>
              <w:right w:type="dxa" w:w="100"/>
            </w:tcMar>
            <w:vAlign w:val="top"/>
          </w:tcPr>
          <w:p>
            <w:pPr>
              <w:spacing w:after="0" w:before="0" w:line="252"/>
            </w:pPr>
            <w:r>
              <w:rPr>
                <w:sz w:val="17"/>
                <w:szCs w:val="17"/>
              </w:rPr>
              <w:t xml:space="preserve">I</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Risk identification and rating</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R</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R</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A</w:t>
            </w:r>
          </w:p>
        </w:tc>
        <w:tc>
          <w:tcPr>
            <w:tcW w:type="dxa" w:w="1174"/>
            <w:shd w:fill="F2F4F6" w:color="auto" w:val="clear"/>
            <w:tcMar>
              <w:top w:type="dxa" w:w="70"/>
              <w:left w:type="dxa" w:w="100"/>
              <w:bottom w:type="dxa" w:w="70"/>
              <w:right w:type="dxa" w:w="100"/>
            </w:tcMar>
            <w:vAlign w:val="top"/>
          </w:tcPr>
          <w:p>
            <w:pPr>
              <w:spacing w:after="0" w:before="0" w:line="252"/>
            </w:pPr>
            <w:r>
              <w:rPr>
                <w:sz w:val="17"/>
                <w:szCs w:val="17"/>
              </w:rPr>
              <w:t xml:space="preserve">C</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Controls and residual rating</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R</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R</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A</w:t>
            </w:r>
          </w:p>
        </w:tc>
        <w:tc>
          <w:tcPr>
            <w:tcW w:type="dxa" w:w="1174"/>
            <w:shd w:fill="FFFFFF" w:color="auto" w:val="clear"/>
            <w:tcMar>
              <w:top w:type="dxa" w:w="70"/>
              <w:left w:type="dxa" w:w="100"/>
              <w:bottom w:type="dxa" w:w="70"/>
              <w:right w:type="dxa" w:w="100"/>
            </w:tcMar>
            <w:vAlign w:val="top"/>
          </w:tcPr>
          <w:p>
            <w:pPr>
              <w:spacing w:after="0" w:before="0" w:line="252"/>
            </w:pPr>
            <w:r>
              <w:rPr>
                <w:sz w:val="17"/>
                <w:szCs w:val="17"/>
              </w:rPr>
              <w:t xml:space="preserve">C</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Sign-off and acceptance</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R</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A</w:t>
            </w:r>
          </w:p>
        </w:tc>
        <w:tc>
          <w:tcPr>
            <w:tcW w:type="dxa" w:w="1174"/>
            <w:shd w:fill="F2F4F6" w:color="auto" w:val="clear"/>
            <w:tcMar>
              <w:top w:type="dxa" w:w="70"/>
              <w:left w:type="dxa" w:w="100"/>
              <w:bottom w:type="dxa" w:w="70"/>
              <w:right w:type="dxa" w:w="100"/>
            </w:tcMar>
            <w:vAlign w:val="top"/>
          </w:tcPr>
          <w:p>
            <w:pPr>
              <w:spacing w:after="0" w:before="0" w:line="252"/>
            </w:pPr>
            <w:r>
              <w:rPr>
                <w:sz w:val="17"/>
                <w:szCs w:val="17"/>
              </w:rPr>
              <w:t xml:space="preserve">I</w:t>
            </w:r>
          </w:p>
        </w:tc>
      </w:tr>
      <w:tr>
        <w:trPr>
          <w:cantSplit/>
        </w:trPr>
        <w:tc>
          <w:tcPr>
            <w:tcW w:type="dxa" w:w="2728"/>
            <w:shd w:fill="FFFFFF" w:color="auto" w:val="clear"/>
            <w:tcMar>
              <w:top w:type="dxa" w:w="70"/>
              <w:left w:type="dxa" w:w="100"/>
              <w:bottom w:type="dxa" w:w="70"/>
              <w:right w:type="dxa" w:w="100"/>
            </w:tcMar>
            <w:vAlign w:val="top"/>
          </w:tcPr>
          <w:p>
            <w:pPr>
              <w:spacing w:after="0" w:before="0" w:line="252"/>
            </w:pPr>
            <w:r>
              <w:rPr>
                <w:sz w:val="17"/>
                <w:szCs w:val="17"/>
              </w:rPr>
              <w:t xml:space="preserve">Prior consultation decision</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FFFFF" w:color="auto" w:val="clear"/>
            <w:tcMar>
              <w:top w:type="dxa" w:w="70"/>
              <w:left w:type="dxa" w:w="100"/>
              <w:bottom w:type="dxa" w:w="70"/>
              <w:right w:type="dxa" w:w="100"/>
            </w:tcMar>
            <w:vAlign w:val="top"/>
          </w:tcPr>
          <w:p>
            <w:pPr>
              <w:spacing w:after="0" w:before="0" w:line="252"/>
            </w:pPr>
            <w:r>
              <w:rPr>
                <w:sz w:val="17"/>
                <w:szCs w:val="17"/>
              </w:rPr>
              <w:t xml:space="preserve">A</w:t>
            </w:r>
          </w:p>
        </w:tc>
        <w:tc>
          <w:tcPr>
            <w:tcW w:type="dxa" w:w="1174"/>
            <w:shd w:fill="FFFFFF" w:color="auto" w:val="clear"/>
            <w:tcMar>
              <w:top w:type="dxa" w:w="70"/>
              <w:left w:type="dxa" w:w="100"/>
              <w:bottom w:type="dxa" w:w="70"/>
              <w:right w:type="dxa" w:w="100"/>
            </w:tcMar>
            <w:vAlign w:val="top"/>
          </w:tcPr>
          <w:p>
            <w:pPr>
              <w:spacing w:after="0" w:before="0" w:line="252"/>
            </w:pPr>
            <w:r>
              <w:rPr>
                <w:sz w:val="17"/>
                <w:szCs w:val="17"/>
              </w:rPr>
              <w:t xml:space="preserve">I</w:t>
            </w:r>
          </w:p>
        </w:tc>
      </w:tr>
      <w:tr>
        <w:trPr>
          <w:cantSplit/>
        </w:trPr>
        <w:tc>
          <w:tcPr>
            <w:tcW w:type="dxa" w:w="2728"/>
            <w:shd w:fill="F2F4F6" w:color="auto" w:val="clear"/>
            <w:tcMar>
              <w:top w:type="dxa" w:w="70"/>
              <w:left w:type="dxa" w:w="100"/>
              <w:bottom w:type="dxa" w:w="70"/>
              <w:right w:type="dxa" w:w="100"/>
            </w:tcMar>
            <w:vAlign w:val="top"/>
          </w:tcPr>
          <w:p>
            <w:pPr>
              <w:spacing w:after="0" w:before="0" w:line="252"/>
            </w:pPr>
            <w:r>
              <w:rPr>
                <w:sz w:val="17"/>
                <w:szCs w:val="17"/>
              </w:rPr>
              <w:t xml:space="preserve">Action plan and review</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R, A</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C</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R</w:t>
            </w:r>
          </w:p>
        </w:tc>
        <w:tc>
          <w:tcPr>
            <w:tcW w:type="dxa" w:w="1461"/>
            <w:shd w:fill="F2F4F6" w:color="auto" w:val="clear"/>
            <w:tcMar>
              <w:top w:type="dxa" w:w="70"/>
              <w:left w:type="dxa" w:w="100"/>
              <w:bottom w:type="dxa" w:w="70"/>
              <w:right w:type="dxa" w:w="100"/>
            </w:tcMar>
            <w:vAlign w:val="top"/>
          </w:tcPr>
          <w:p>
            <w:pPr>
              <w:spacing w:after="0" w:before="0" w:line="252"/>
            </w:pPr>
            <w:r>
              <w:rPr>
                <w:sz w:val="17"/>
                <w:szCs w:val="17"/>
              </w:rPr>
              <w:t xml:space="preserve">I</w:t>
            </w:r>
          </w:p>
        </w:tc>
        <w:tc>
          <w:tcPr>
            <w:tcW w:type="dxa" w:w="1174"/>
            <w:shd w:fill="F2F4F6" w:color="auto" w:val="clear"/>
            <w:tcMar>
              <w:top w:type="dxa" w:w="70"/>
              <w:left w:type="dxa" w:w="100"/>
              <w:bottom w:type="dxa" w:w="70"/>
              <w:right w:type="dxa" w:w="100"/>
            </w:tcMar>
            <w:vAlign w:val="top"/>
          </w:tcPr>
          <w:p>
            <w:pPr>
              <w:spacing w:after="0" w:before="0" w:line="252"/>
            </w:pPr>
            <w:r>
              <w:rPr>
                <w:sz w:val="17"/>
                <w:szCs w:val="17"/>
              </w:rPr>
              <w:t xml:space="preserve">C</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08" w:id="1"/>
      <w:r>
        <w:t xml:space="preserve">4.  Screening</w:t>
      </w:r>
      <w:bookmarkEnd w:id="1"/>
    </w:p>
    <w:p>
      <w:pPr>
        <w:spacing w:after="130" w:line="262"/>
      </w:pPr>
      <w:r>
        <w:t xml:space="preserve">Screening decides whether a full assessment is required. It is quick, it is recorded every time, and a negative result is kept as evidence that the question was asked.</w:t>
      </w:r>
    </w:p>
    <w:p>
      <w:pPr>
        <w:spacing w:after="60" w:line="120"/>
      </w:pPr>
      <w:r>
        <w:rPr>
          <w:sz w:val="4"/>
          <w:szCs w:val="4"/>
        </w:rPr>
        <w:t xml:space="preserve"/>
      </w:r>
    </w:p>
    <w:p>
      <w:pPr>
        <w:pStyle w:val="Heading2"/>
        <w:keepNext/>
        <w:keepLines/>
        <w:spacing w:after="90" w:before="220"/>
      </w:pPr>
      <w:bookmarkStart w:name="_RG0009" w:id="1"/>
      <w:r>
        <w:t xml:space="preserve">4.1  When screening is carried out</w:t>
      </w:r>
      <w:bookmarkEnd w:id="1"/>
    </w:p>
    <w:p>
      <w:pPr>
        <w:spacing w:after="130" w:line="262"/>
      </w:pPr>
      <w:r>
        <w:t xml:space="preserve">The project owner completes the screening checklist in Appendix A at the earliest of the following points:</w:t>
      </w:r>
    </w:p>
    <w:p>
      <w:pPr>
        <w:pStyle w:val="ListParagraph"/>
        <w:numPr>
          <w:ilvl w:val="0"/>
          <w:numId w:val="2"/>
        </w:numPr>
        <w:spacing w:after="60" w:line="262"/>
      </w:pPr>
      <w:r>
        <w:t xml:space="preserve">When a project, system procurement or supplier engagement that will process personal data is proposed, and before budget is committed.</w:t>
      </w:r>
    </w:p>
    <w:p>
      <w:pPr>
        <w:pStyle w:val="ListParagraph"/>
        <w:numPr>
          <w:ilvl w:val="0"/>
          <w:numId w:val="2"/>
        </w:numPr>
        <w:spacing w:after="60" w:line="262"/>
      </w:pPr>
      <w:r>
        <w:t xml:space="preserve">When an existing processing activity is to be changed in purpose, data categories, data subjects, recipients, location, technology or retention.</w:t>
      </w:r>
    </w:p>
    <w:p>
      <w:pPr>
        <w:pStyle w:val="ListParagraph"/>
        <w:numPr>
          <w:ilvl w:val="0"/>
          <w:numId w:val="2"/>
        </w:numPr>
        <w:spacing w:after="60" w:line="262"/>
      </w:pPr>
      <w:r>
        <w:t xml:space="preserve">When a new use is proposed for personal data the organization already holds.</w:t>
      </w:r>
    </w:p>
    <w:p>
      <w:pPr>
        <w:pStyle w:val="ListParagraph"/>
        <w:numPr>
          <w:ilvl w:val="0"/>
          <w:numId w:val="2"/>
        </w:numPr>
        <w:spacing w:after="60" w:line="262"/>
      </w:pPr>
      <w:r>
        <w:t xml:space="preserve">When the review in Section 13 identifies a change that has not been through screening.</w:t>
      </w:r>
    </w:p>
    <w:p>
      <w:pPr>
        <w:pStyle w:val="ListParagraph"/>
        <w:numPr>
          <w:ilvl w:val="0"/>
          <w:numId w:val="2"/>
        </w:numPr>
        <w:spacing w:after="60" w:line="262"/>
      </w:pPr>
      <w:r>
        <w:t xml:space="preserve">When the DPO or privacy lead, information security or the senior accountable owner asks for it.</w:t>
      </w:r>
    </w:p>
    <w:p>
      <w:pPr>
        <w:spacing w:after="60" w:line="120"/>
      </w:pPr>
      <w:r>
        <w:rPr>
          <w:sz w:val="4"/>
          <w:szCs w:val="4"/>
        </w:rPr>
        <w:t xml:space="preserve"/>
      </w:r>
    </w:p>
    <w:p>
      <w:pPr>
        <w:pStyle w:val="Heading2"/>
        <w:keepNext/>
        <w:keepLines/>
        <w:spacing w:after="90" w:before="220"/>
      </w:pPr>
      <w:bookmarkStart w:name="_RG0010" w:id="1"/>
      <w:r>
        <w:t xml:space="preserve">4.2  Screening criteria</w:t>
      </w:r>
      <w:bookmarkEnd w:id="1"/>
    </w:p>
    <w:p>
      <w:pPr>
        <w:spacing w:after="130" w:line="262"/>
      </w:pPr>
      <w:r>
        <w:t xml:space="preserve">The checklist tests the processing against the criteria below. The first group reflects the cases in which the applicable data protection law most commonly requires an assessment outright. The second group reflects the indicators of likely high risk that regulators use. The third group reflects the triggers in United States state laws that require data protection assessments or risk assessments.</w:t>
      </w:r>
    </w:p>
    <w:p>
      <w:pPr>
        <w:keepNext/>
        <w:spacing w:after="70" w:before="180"/>
      </w:pPr>
      <w:r>
        <w:rPr>
          <w:b/>
          <w:bCs/>
          <w:color w:val="15314B"/>
          <w:sz w:val="19"/>
          <w:szCs w:val="19"/>
        </w:rPr>
        <w:t xml:space="preserve">Group 1: an assessment is required</w:t>
      </w:r>
    </w:p>
    <w:p>
      <w:pPr>
        <w:pStyle w:val="ListParagraph"/>
        <w:numPr>
          <w:ilvl w:val="0"/>
          <w:numId w:val="2"/>
        </w:numPr>
        <w:spacing w:after="60" w:line="262"/>
      </w:pPr>
      <w:r>
        <w:t xml:space="preserve">A systematic and extensive evaluation of personal aspects of individuals, based on automated processing including profiling, on which decisions are based that produce legal effects or similarly significantly affect them.</w:t>
      </w:r>
    </w:p>
    <w:p>
      <w:pPr>
        <w:pStyle w:val="ListParagraph"/>
        <w:numPr>
          <w:ilvl w:val="0"/>
          <w:numId w:val="2"/>
        </w:numPr>
        <w:spacing w:after="60" w:line="262"/>
      </w:pPr>
      <w:r>
        <w:t xml:space="preserve">Processing on a large scale of special category data or of personal data relating to criminal convictions and offenses.</w:t>
      </w:r>
    </w:p>
    <w:p>
      <w:pPr>
        <w:pStyle w:val="ListParagraph"/>
        <w:numPr>
          <w:ilvl w:val="0"/>
          <w:numId w:val="2"/>
        </w:numPr>
        <w:spacing w:after="60" w:line="262"/>
      </w:pPr>
      <w:r>
        <w:t xml:space="preserve">Systematic monitoring of a publicly accessible area on a large scale.</w:t>
      </w:r>
    </w:p>
    <w:p>
      <w:pPr>
        <w:pStyle w:val="ListParagraph"/>
        <w:numPr>
          <w:ilvl w:val="0"/>
          <w:numId w:val="2"/>
        </w:numPr>
        <w:spacing w:after="60" w:line="262"/>
      </w:pPr>
      <w:r>
        <w:t xml:space="preserve">Any processing on a list of operations that the relevant supervisory authority or regulator has published as requiring an assessment.</w:t>
      </w:r>
    </w:p>
    <w:p>
      <w:pPr>
        <w:keepNext/>
        <w:spacing w:after="70" w:before="180"/>
      </w:pPr>
      <w:r>
        <w:rPr>
          <w:b/>
          <w:bCs/>
          <w:color w:val="15314B"/>
          <w:sz w:val="19"/>
          <w:szCs w:val="19"/>
        </w:rPr>
        <w:t xml:space="preserve">Group 2: indicators of likely high risk</w:t>
      </w:r>
    </w:p>
    <w:p>
      <w:pPr>
        <w:pStyle w:val="ListParagraph"/>
        <w:numPr>
          <w:ilvl w:val="0"/>
          <w:numId w:val="2"/>
        </w:numPr>
        <w:spacing w:after="60" w:line="262"/>
      </w:pPr>
      <w:r>
        <w:t xml:space="preserve">Evaluation or scoring, including profiling and prediction about performance at work, economic situation, health, preferences, reliability, behavior, location or movements.</w:t>
      </w:r>
    </w:p>
    <w:p>
      <w:pPr>
        <w:pStyle w:val="ListParagraph"/>
        <w:numPr>
          <w:ilvl w:val="0"/>
          <w:numId w:val="2"/>
        </w:numPr>
        <w:spacing w:after="60" w:line="262"/>
      </w:pPr>
      <w:r>
        <w:t xml:space="preserve">Automated decision-making with legal or similarly significant effect.</w:t>
      </w:r>
    </w:p>
    <w:p>
      <w:pPr>
        <w:pStyle w:val="ListParagraph"/>
        <w:numPr>
          <w:ilvl w:val="0"/>
          <w:numId w:val="2"/>
        </w:numPr>
        <w:spacing w:after="60" w:line="262"/>
      </w:pPr>
      <w:r>
        <w:t xml:space="preserve">Systematic monitoring of individuals, including of employees.</w:t>
      </w:r>
    </w:p>
    <w:p>
      <w:pPr>
        <w:pStyle w:val="ListParagraph"/>
        <w:numPr>
          <w:ilvl w:val="0"/>
          <w:numId w:val="2"/>
        </w:numPr>
        <w:spacing w:after="60" w:line="262"/>
      </w:pPr>
      <w:r>
        <w:t xml:space="preserve">Sensitive data or data of a highly personal nature.</w:t>
      </w:r>
    </w:p>
    <w:p>
      <w:pPr>
        <w:pStyle w:val="ListParagraph"/>
        <w:numPr>
          <w:ilvl w:val="0"/>
          <w:numId w:val="2"/>
        </w:numPr>
        <w:spacing w:after="60" w:line="262"/>
      </w:pPr>
      <w:r>
        <w:t xml:space="preserve">Data processed on a large scale, judged by the number of individuals, the volume of data, the duration and the geographic extent.</w:t>
      </w:r>
    </w:p>
    <w:p>
      <w:pPr>
        <w:pStyle w:val="ListParagraph"/>
        <w:numPr>
          <w:ilvl w:val="0"/>
          <w:numId w:val="2"/>
        </w:numPr>
        <w:spacing w:after="60" w:line="262"/>
      </w:pPr>
      <w:r>
        <w:t xml:space="preserve">Matching or combining datasets from different sources or purposes in ways individuals would not reasonably expect.</w:t>
      </w:r>
    </w:p>
    <w:p>
      <w:pPr>
        <w:pStyle w:val="ListParagraph"/>
        <w:numPr>
          <w:ilvl w:val="0"/>
          <w:numId w:val="2"/>
        </w:numPr>
        <w:spacing w:after="60" w:line="262"/>
      </w:pPr>
      <w:r>
        <w:t xml:space="preserve">Data concerning vulnerable individuals, including children, employees in relation to their employer, patients and others in an unequal relationship with the organization.</w:t>
      </w:r>
    </w:p>
    <w:p>
      <w:pPr>
        <w:pStyle w:val="ListParagraph"/>
        <w:numPr>
          <w:ilvl w:val="0"/>
          <w:numId w:val="2"/>
        </w:numPr>
        <w:spacing w:after="60" w:line="262"/>
      </w:pPr>
      <w:r>
        <w:t xml:space="preserve">Innovative use or application of new technological or organizational methods, including new uses of artificial intelligence.</w:t>
      </w:r>
    </w:p>
    <w:p>
      <w:pPr>
        <w:pStyle w:val="ListParagraph"/>
        <w:numPr>
          <w:ilvl w:val="0"/>
          <w:numId w:val="2"/>
        </w:numPr>
        <w:spacing w:after="60" w:line="262"/>
      </w:pPr>
      <w:r>
        <w:t xml:space="preserve">Processing that prevents individuals from exercising a right or using a service or contract.</w:t>
      </w:r>
    </w:p>
    <w:p>
      <w:pPr>
        <w:keepNext/>
        <w:spacing w:after="70" w:before="180"/>
      </w:pPr>
      <w:r>
        <w:rPr>
          <w:b/>
          <w:bCs/>
          <w:color w:val="15314B"/>
          <w:sz w:val="19"/>
          <w:szCs w:val="19"/>
        </w:rPr>
        <w:t xml:space="preserve">Group 3: heightened risk triggers in US state laws</w:t>
      </w:r>
    </w:p>
    <w:p>
      <w:pPr>
        <w:pStyle w:val="ListParagraph"/>
        <w:numPr>
          <w:ilvl w:val="0"/>
          <w:numId w:val="2"/>
        </w:numPr>
        <w:spacing w:after="60" w:line="262"/>
      </w:pPr>
      <w:r>
        <w:t xml:space="preserve">Selling personal data, or sharing it for cross-context behavioral advertising.</w:t>
      </w:r>
    </w:p>
    <w:p>
      <w:pPr>
        <w:pStyle w:val="ListParagraph"/>
        <w:numPr>
          <w:ilvl w:val="0"/>
          <w:numId w:val="2"/>
        </w:numPr>
        <w:spacing w:after="60" w:line="262"/>
      </w:pPr>
      <w:r>
        <w:t xml:space="preserve">Processing personal data for targeted advertising.</w:t>
      </w:r>
    </w:p>
    <w:p>
      <w:pPr>
        <w:pStyle w:val="ListParagraph"/>
        <w:numPr>
          <w:ilvl w:val="0"/>
          <w:numId w:val="2"/>
        </w:numPr>
        <w:spacing w:after="60" w:line="262"/>
      </w:pPr>
      <w:r>
        <w:t xml:space="preserve">Processing sensitive data or sensitive personal information as the applicable data protection law defines it.</w:t>
      </w:r>
    </w:p>
    <w:p>
      <w:pPr>
        <w:pStyle w:val="ListParagraph"/>
        <w:numPr>
          <w:ilvl w:val="0"/>
          <w:numId w:val="2"/>
        </w:numPr>
        <w:spacing w:after="60" w:line="262"/>
      </w:pPr>
      <w:r>
        <w:t xml:space="preserve">Profiling that presents a reasonably foreseeable risk of unfair, deceptive or disparate treatment, financial or physical injury, an intrusion on privacy that a reasonable person would find offensive, or other substantial injury.</w:t>
      </w:r>
    </w:p>
    <w:p>
      <w:pPr>
        <w:pStyle w:val="ListParagraph"/>
        <w:numPr>
          <w:ilvl w:val="0"/>
          <w:numId w:val="2"/>
        </w:numPr>
        <w:spacing w:after="60" w:line="262"/>
      </w:pPr>
      <w:r>
        <w:t xml:space="preserve">Using or training automated decision-making technology, where the applicable data protection law brings that activity into scope.</w:t>
      </w:r>
    </w:p>
    <w:p>
      <w:pPr>
        <w:spacing w:after="60" w:line="120"/>
      </w:pPr>
      <w:r>
        <w:rPr>
          <w:sz w:val="4"/>
          <w:szCs w:val="4"/>
        </w:rPr>
        <w:t xml:space="preserve"/>
      </w:r>
    </w:p>
    <w:p>
      <w:pPr>
        <w:pStyle w:val="Heading2"/>
        <w:keepNext/>
        <w:keepLines/>
        <w:spacing w:after="90" w:before="220"/>
      </w:pPr>
      <w:bookmarkStart w:name="_RG0011" w:id="1"/>
      <w:r>
        <w:t xml:space="preserve">4.3  Screening decision rule</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118"/>
        <w:gridCol w:w="4483"/>
        <w:gridCol w:w="2145"/>
      </w:tblGrid>
      <w:tr>
        <w:trPr>
          <w:cantSplit/>
          <w:tblHeader/>
        </w:trPr>
        <w:tc>
          <w:tcPr>
            <w:tcW w:type="dxa" w:w="31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Result of checklist</w:t>
            </w:r>
          </w:p>
        </w:tc>
        <w:tc>
          <w:tcPr>
            <w:tcW w:type="dxa" w:w="448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Decision</w:t>
            </w:r>
          </w:p>
        </w:tc>
        <w:tc>
          <w:tcPr>
            <w:tcW w:type="dxa" w:w="214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Recorded by</w:t>
            </w: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Any Group 1 criterion met</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Full assessment required</w:t>
            </w:r>
          </w:p>
        </w:tc>
        <w:tc>
          <w:tcPr>
            <w:tcW w:type="dxa" w:w="2145"/>
            <w:shd w:fill="FFFFFF" w:color="auto" w:val="clear"/>
            <w:tcMar>
              <w:top w:type="dxa" w:w="70"/>
              <w:left w:type="dxa" w:w="100"/>
              <w:bottom w:type="dxa" w:w="70"/>
              <w:right w:type="dxa" w:w="100"/>
            </w:tcMar>
            <w:vAlign w:val="top"/>
          </w:tcPr>
          <w:p>
            <w:pPr>
              <w:spacing w:after="0" w:before="0" w:line="252"/>
            </w:pPr>
            <w:r>
              <w:rPr>
                <w:sz w:val="17"/>
                <w:szCs w:val="17"/>
              </w:rPr>
              <w:t xml:space="preserve">Project owner, confirmed by DPO or privacy lead</w:t>
            </w:r>
          </w:p>
        </w:tc>
      </w:tr>
      <w:tr>
        <w:trPr>
          <w:cantSplit/>
        </w:trPr>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Any Group 3 criterion met and a law containing that trigger applies</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Full assessment required, extended with that law's content requirements</w:t>
            </w:r>
          </w:p>
        </w:tc>
        <w:tc>
          <w:tcPr>
            <w:tcW w:type="dxa" w:w="2145"/>
            <w:shd w:fill="F2F4F6" w:color="auto" w:val="clear"/>
            <w:tcMar>
              <w:top w:type="dxa" w:w="70"/>
              <w:left w:type="dxa" w:w="100"/>
              <w:bottom w:type="dxa" w:w="70"/>
              <w:right w:type="dxa" w:w="100"/>
            </w:tcMar>
            <w:vAlign w:val="top"/>
          </w:tcPr>
          <w:p>
            <w:pPr>
              <w:spacing w:after="0" w:before="0" w:line="252"/>
            </w:pPr>
            <w:r>
              <w:rPr>
                <w:sz w:val="17"/>
                <w:szCs w:val="17"/>
              </w:rPr>
              <w:t xml:space="preserve">Project owner, confirmed by DPO or privacy lead</w:t>
            </w: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Two or more Group 2 criteria met</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Full assessment required unless the DPO or privacy lead records in Appendix A, with reasons, why the processing is not likely to result in a high risk</w:t>
            </w:r>
          </w:p>
        </w:tc>
        <w:tc>
          <w:tcPr>
            <w:tcW w:type="dxa" w:w="2145"/>
            <w:shd w:fill="FFFFFF" w:color="auto" w:val="clear"/>
            <w:tcMar>
              <w:top w:type="dxa" w:w="70"/>
              <w:left w:type="dxa" w:w="100"/>
              <w:bottom w:type="dxa" w:w="70"/>
              <w:right w:type="dxa" w:w="100"/>
            </w:tcMar>
            <w:vAlign w:val="top"/>
          </w:tcPr>
          <w:p>
            <w:pPr>
              <w:spacing w:after="0" w:before="0" w:line="252"/>
            </w:pPr>
            <w:r>
              <w:rPr>
                <w:sz w:val="17"/>
                <w:szCs w:val="17"/>
              </w:rPr>
              <w:t xml:space="preserve">DPO or privacy lead</w:t>
            </w:r>
          </w:p>
        </w:tc>
      </w:tr>
      <w:tr>
        <w:trPr>
          <w:cantSplit/>
        </w:trPr>
        <w:tc>
          <w:tcPr>
            <w:tcW w:type="dxa" w:w="3118"/>
            <w:shd w:fill="F2F4F6" w:color="auto" w:val="clear"/>
            <w:tcMar>
              <w:top w:type="dxa" w:w="70"/>
              <w:left w:type="dxa" w:w="100"/>
              <w:bottom w:type="dxa" w:w="70"/>
              <w:right w:type="dxa" w:w="100"/>
            </w:tcMar>
            <w:vAlign w:val="top"/>
          </w:tcPr>
          <w:p>
            <w:pPr>
              <w:spacing w:after="0" w:before="0" w:line="252"/>
            </w:pPr>
            <w:r>
              <w:rPr>
                <w:sz w:val="17"/>
                <w:szCs w:val="17"/>
              </w:rPr>
              <w:t xml:space="preserve">One Group 2 criterion met</w:t>
            </w:r>
          </w:p>
        </w:tc>
        <w:tc>
          <w:tcPr>
            <w:tcW w:type="dxa" w:w="4483"/>
            <w:shd w:fill="F2F4F6" w:color="auto" w:val="clear"/>
            <w:tcMar>
              <w:top w:type="dxa" w:w="70"/>
              <w:left w:type="dxa" w:w="100"/>
              <w:bottom w:type="dxa" w:w="70"/>
              <w:right w:type="dxa" w:w="100"/>
            </w:tcMar>
            <w:vAlign w:val="top"/>
          </w:tcPr>
          <w:p>
            <w:pPr>
              <w:spacing w:after="0" w:before="0" w:line="252"/>
            </w:pPr>
            <w:r>
              <w:rPr>
                <w:sz w:val="17"/>
                <w:szCs w:val="17"/>
              </w:rPr>
              <w:t xml:space="preserve">Full assessment advisable; the DPO or privacy lead decides and records the reason either way</w:t>
            </w:r>
          </w:p>
        </w:tc>
        <w:tc>
          <w:tcPr>
            <w:tcW w:type="dxa" w:w="2145"/>
            <w:shd w:fill="F2F4F6" w:color="auto" w:val="clear"/>
            <w:tcMar>
              <w:top w:type="dxa" w:w="70"/>
              <w:left w:type="dxa" w:w="100"/>
              <w:bottom w:type="dxa" w:w="70"/>
              <w:right w:type="dxa" w:w="100"/>
            </w:tcMar>
            <w:vAlign w:val="top"/>
          </w:tcPr>
          <w:p>
            <w:pPr>
              <w:spacing w:after="0" w:before="0" w:line="252"/>
            </w:pPr>
            <w:r>
              <w:rPr>
                <w:sz w:val="17"/>
                <w:szCs w:val="17"/>
              </w:rPr>
              <w:t xml:space="preserve">DPO or privacy lead</w:t>
            </w:r>
          </w:p>
        </w:tc>
      </w:tr>
      <w:tr>
        <w:trPr>
          <w:cantSplit/>
        </w:trPr>
        <w:tc>
          <w:tcPr>
            <w:tcW w:type="dxa" w:w="3118"/>
            <w:shd w:fill="FFFFFF" w:color="auto" w:val="clear"/>
            <w:tcMar>
              <w:top w:type="dxa" w:w="70"/>
              <w:left w:type="dxa" w:w="100"/>
              <w:bottom w:type="dxa" w:w="70"/>
              <w:right w:type="dxa" w:w="100"/>
            </w:tcMar>
            <w:vAlign w:val="top"/>
          </w:tcPr>
          <w:p>
            <w:pPr>
              <w:spacing w:after="0" w:before="0" w:line="252"/>
            </w:pPr>
            <w:r>
              <w:rPr>
                <w:sz w:val="17"/>
                <w:szCs w:val="17"/>
              </w:rPr>
              <w:t xml:space="preserve">No criterion met</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No full assessment; Appendix A retained with the record of processing entry</w:t>
            </w:r>
          </w:p>
        </w:tc>
        <w:tc>
          <w:tcPr>
            <w:tcW w:type="dxa" w:w="2145"/>
            <w:shd w:fill="FFFFFF" w:color="auto" w:val="clear"/>
            <w:tcMar>
              <w:top w:type="dxa" w:w="70"/>
              <w:left w:type="dxa" w:w="100"/>
              <w:bottom w:type="dxa" w:w="70"/>
              <w:right w:type="dxa" w:w="100"/>
            </w:tcMar>
            <w:vAlign w:val="top"/>
          </w:tcPr>
          <w:p>
            <w:pPr>
              <w:spacing w:after="0" w:before="0" w:line="252"/>
            </w:pPr>
            <w:r>
              <w:rPr>
                <w:sz w:val="17"/>
                <w:szCs w:val="17"/>
              </w:rPr>
              <w:t xml:space="preserve">Project owner</w:t>
            </w:r>
          </w:p>
        </w:tc>
      </w:tr>
    </w:tbl>
    <w:p>
      <w:pPr>
        <w:spacing w:after="120" w:line="120"/>
      </w:pPr>
      <w:r>
        <w:rPr>
          <w:sz w:val="4"/>
          <w:szCs w:val="4"/>
        </w:rPr>
        <w:t xml:space="preserve"/>
      </w:r>
    </w:p>
    <w:p>
      <w:pPr>
        <w:spacing w:after="130" w:line="262"/>
      </w:pPr>
      <w:r>
        <w:t xml:space="preserve">Where the screening result is uncertain, the assessment is carried out. The cost of an unnecessary assessment is a few hours; the cost of a missing one is processing that cannot be shown to have been considered. The completed checklist is retained whatever the result and is referenced from the record of processing entry.</w:t>
      </w:r>
    </w:p>
    <w:p>
      <w:pPr>
        <w:spacing w:after="60" w:line="120"/>
      </w:pPr>
      <w:r>
        <w:rPr>
          <w:sz w:val="4"/>
          <w:szCs w:val="4"/>
        </w:rPr>
        <w:t xml:space="preserve"/>
      </w:r>
    </w:p>
    <w:p>
      <w:pPr>
        <w:pStyle w:val="Heading1"/>
        <w:keepNext/>
        <w:keepLines/>
        <w:pBdr>
          <w:bottom w:val="single" w:color="D4DAE0" w:sz="4" w:space="4"/>
        </w:pBdr>
        <w:spacing w:after="140" w:before="300"/>
      </w:pPr>
      <w:bookmarkStart w:name="_RG0012" w:id="1"/>
      <w:r>
        <w:t xml:space="preserve">5.  Describing the processing</w:t>
      </w:r>
      <w:bookmarkEnd w:id="1"/>
    </w:p>
    <w:p>
      <w:pPr>
        <w:spacing w:after="130" w:line="262"/>
      </w:pPr>
      <w:r>
        <w:t xml:space="preserve">The description is the factual base for everything that follows. A risk cannot be identified for a data flow the assessment does not know about, so the description is drawn from the record of processing and checked against the systems before any risk is rated. It is recorded in Appendix B.</w:t>
      </w:r>
    </w:p>
    <w:p>
      <w:pPr>
        <w:spacing w:after="60" w:line="120"/>
      </w:pPr>
      <w:r>
        <w:rPr>
          <w:sz w:val="4"/>
          <w:szCs w:val="4"/>
        </w:rPr>
        <w:t xml:space="preserve"/>
      </w:r>
    </w:p>
    <w:p>
      <w:pPr>
        <w:pStyle w:val="Heading2"/>
        <w:keepNext/>
        <w:keepLines/>
        <w:spacing w:after="90" w:before="220"/>
      </w:pPr>
      <w:bookmarkStart w:name="_RG0013" w:id="1"/>
      <w:r>
        <w:t xml:space="preserve">5.1  What the description records</w:t>
      </w:r>
      <w:bookmarkEnd w:id="1"/>
    </w:p>
    <w:p>
      <w:pPr>
        <w:keepNext/>
        <w:keepLines/>
        <w:pBdr>
          <w:top w:val="single" w:color="D4DAE0" w:sz="4" w:space="9"/>
        </w:pBdr>
        <w:spacing w:after="46" w:before="110"/>
      </w:pPr>
      <w:r>
        <w:rPr>
          <w:b/>
          <w:bCs/>
          <w:color w:val="2E5C7A"/>
          <w:sz w:val="21"/>
          <w:szCs w:val="21"/>
        </w:rPr>
        <w:t xml:space="preserve">Nature of the processing</w:t>
      </w:r>
    </w:p>
    <w:p>
      <w:pPr>
        <w:spacing w:after="62" w:line="262"/>
        <w:ind w:left="172"/>
      </w:pPr>
      <w:r>
        <w:t xml:space="preserve">What happens to the data: collection, storage, use, combination, analysis, disclosure and deletion, and by what means. Include any automated decision-making or profiling and any human review of its outputs.</w:t>
      </w:r>
    </w:p>
    <w:p>
      <w:pPr>
        <w:keepNext/>
        <w:keepLines/>
        <w:pBdr>
          <w:top w:val="single" w:color="D4DAE0" w:sz="4" w:space="9"/>
        </w:pBdr>
        <w:spacing w:after="46" w:before="170"/>
      </w:pPr>
      <w:r>
        <w:rPr>
          <w:b/>
          <w:bCs/>
          <w:color w:val="2E5C7A"/>
          <w:sz w:val="21"/>
          <w:szCs w:val="21"/>
        </w:rPr>
        <w:t xml:space="preserve">Purposes</w:t>
      </w:r>
    </w:p>
    <w:p>
      <w:pPr>
        <w:spacing w:after="62" w:line="262"/>
        <w:ind w:left="172"/>
      </w:pPr>
      <w:r>
        <w:t xml:space="preserve">Each purpose stated specifically enough that a reader can test whether a given use falls inside it. Where the organization relies on legitimate interests, the interest pursued is stated.</w:t>
      </w:r>
    </w:p>
    <w:p>
      <w:pPr>
        <w:keepNext/>
        <w:keepLines/>
        <w:pBdr>
          <w:top w:val="single" w:color="D4DAE0" w:sz="4" w:space="9"/>
        </w:pBdr>
        <w:spacing w:after="46" w:before="170"/>
      </w:pPr>
      <w:r>
        <w:rPr>
          <w:b/>
          <w:bCs/>
          <w:color w:val="2E5C7A"/>
          <w:sz w:val="21"/>
          <w:szCs w:val="21"/>
        </w:rPr>
        <w:t xml:space="preserve">Data subjects</w:t>
      </w:r>
    </w:p>
    <w:p>
      <w:pPr>
        <w:spacing w:after="62" w:line="262"/>
        <w:ind w:left="172"/>
      </w:pPr>
      <w:r>
        <w:t xml:space="preserve">Each category of individual and an estimate of how many, including whether any are children or otherwise vulnerable.</w:t>
      </w:r>
    </w:p>
    <w:p>
      <w:pPr>
        <w:keepNext/>
        <w:keepLines/>
        <w:pBdr>
          <w:top w:val="single" w:color="D4DAE0" w:sz="4" w:space="9"/>
        </w:pBdr>
        <w:spacing w:after="46" w:before="170"/>
      </w:pPr>
      <w:r>
        <w:rPr>
          <w:b/>
          <w:bCs/>
          <w:color w:val="2E5C7A"/>
          <w:sz w:val="21"/>
          <w:szCs w:val="21"/>
        </w:rPr>
        <w:t xml:space="preserve">Data categories</w:t>
      </w:r>
    </w:p>
    <w:p>
      <w:pPr>
        <w:spacing w:after="62" w:line="262"/>
        <w:ind w:left="172"/>
      </w:pPr>
      <w:r>
        <w:t xml:space="preserve">Each category of personal data, the source of each, and whether it is collected directly, observed, derived or obtained from a third party.</w:t>
      </w:r>
    </w:p>
    <w:p>
      <w:pPr>
        <w:keepNext/>
        <w:keepLines/>
        <w:pBdr>
          <w:top w:val="single" w:color="D4DAE0" w:sz="4" w:space="9"/>
        </w:pBdr>
        <w:spacing w:after="46" w:before="170"/>
      </w:pPr>
      <w:r>
        <w:rPr>
          <w:b/>
          <w:bCs/>
          <w:color w:val="2E5C7A"/>
          <w:sz w:val="21"/>
          <w:szCs w:val="21"/>
        </w:rPr>
        <w:t xml:space="preserve">Special category and sensitive data</w:t>
      </w:r>
    </w:p>
    <w:p>
      <w:pPr>
        <w:spacing w:after="62" w:line="262"/>
        <w:ind w:left="172"/>
      </w:pPr>
      <w:r>
        <w:t xml:space="preserve">Any special category data, criminal offense data, or sensitive data as the applicable data protection law defines it, with the specific condition or basis that permits its processing.</w:t>
      </w:r>
    </w:p>
    <w:p>
      <w:pPr>
        <w:keepNext/>
        <w:keepLines/>
        <w:pBdr>
          <w:top w:val="single" w:color="D4DAE0" w:sz="4" w:space="9"/>
        </w:pBdr>
        <w:spacing w:after="46" w:before="170"/>
      </w:pPr>
      <w:r>
        <w:rPr>
          <w:b/>
          <w:bCs/>
          <w:color w:val="2E5C7A"/>
          <w:sz w:val="21"/>
          <w:szCs w:val="21"/>
        </w:rPr>
        <w:t xml:space="preserve">Recipients</w:t>
      </w:r>
    </w:p>
    <w:p>
      <w:pPr>
        <w:spacing w:after="62" w:line="262"/>
        <w:ind w:left="172"/>
      </w:pPr>
      <w:r>
        <w:t xml:space="preserve">Every internal function and external party that receives or can access the data, including processors and their sub-processors, and the reason each needs it.</w:t>
      </w:r>
    </w:p>
    <w:p>
      <w:pPr>
        <w:keepNext/>
        <w:keepLines/>
        <w:pBdr>
          <w:top w:val="single" w:color="D4DAE0" w:sz="4" w:space="9"/>
        </w:pBdr>
        <w:spacing w:after="46" w:before="170"/>
      </w:pPr>
      <w:r>
        <w:rPr>
          <w:b/>
          <w:bCs/>
          <w:color w:val="2E5C7A"/>
          <w:sz w:val="21"/>
          <w:szCs w:val="21"/>
        </w:rPr>
        <w:t xml:space="preserve">Transfers</w:t>
      </w:r>
    </w:p>
    <w:p>
      <w:pPr>
        <w:spacing w:after="62" w:line="262"/>
        <w:ind w:left="172"/>
      </w:pPr>
      <w:r>
        <w:t xml:space="preserve">Any transfer to or access from another jurisdiction, the receiving country, the recipient and the mechanism relied on where the applicable data protection law requires one.</w:t>
      </w:r>
    </w:p>
    <w:p>
      <w:pPr>
        <w:keepNext/>
        <w:keepLines/>
        <w:pBdr>
          <w:top w:val="single" w:color="D4DAE0" w:sz="4" w:space="9"/>
        </w:pBdr>
        <w:spacing w:after="46" w:before="170"/>
      </w:pPr>
      <w:r>
        <w:rPr>
          <w:b/>
          <w:bCs/>
          <w:color w:val="2E5C7A"/>
          <w:sz w:val="21"/>
          <w:szCs w:val="21"/>
        </w:rPr>
        <w:t xml:space="preserve">Retention</w:t>
      </w:r>
    </w:p>
    <w:p>
      <w:pPr>
        <w:spacing w:after="62" w:line="262"/>
        <w:ind w:left="172"/>
      </w:pPr>
      <w:r>
        <w:t xml:space="preserve">The retention period for each data category, the event that starts the period, and how deletion or anonymization is carried out.</w:t>
      </w:r>
    </w:p>
    <w:p>
      <w:pPr>
        <w:keepNext/>
        <w:keepLines/>
        <w:pBdr>
          <w:top w:val="single" w:color="D4DAE0" w:sz="4" w:space="9"/>
        </w:pBdr>
        <w:spacing w:after="46" w:before="170"/>
      </w:pPr>
      <w:r>
        <w:rPr>
          <w:b/>
          <w:bCs/>
          <w:color w:val="2E5C7A"/>
          <w:sz w:val="21"/>
          <w:szCs w:val="21"/>
        </w:rPr>
        <w:t xml:space="preserve">Systems</w:t>
      </w:r>
    </w:p>
    <w:p>
      <w:pPr>
        <w:spacing w:after="62" w:line="262"/>
        <w:ind w:left="172"/>
      </w:pPr>
      <w:r>
        <w:t xml:space="preserve">Each system, application, database and integration that stores or processes the data, its owner and its hosting location.</w:t>
      </w:r>
    </w:p>
    <w:p>
      <w:pPr>
        <w:keepNext/>
        <w:keepLines/>
        <w:pBdr>
          <w:top w:val="single" w:color="D4DAE0" w:sz="4" w:space="9"/>
        </w:pBdr>
        <w:spacing w:after="46" w:before="170"/>
      </w:pPr>
      <w:r>
        <w:rPr>
          <w:b/>
          <w:bCs/>
          <w:color w:val="2E5C7A"/>
          <w:sz w:val="21"/>
          <w:szCs w:val="21"/>
        </w:rPr>
        <w:t xml:space="preserve">Context</w:t>
      </w:r>
    </w:p>
    <w:p>
      <w:pPr>
        <w:spacing w:after="62" w:line="262"/>
        <w:ind w:left="172"/>
      </w:pPr>
      <w:r>
        <w:t xml:space="preserve">The relationship with the individuals, what they have been told, what they would reasonably expect, any public concern about this type of processing, and any relevant code of conduct or certification.</w:t>
      </w:r>
    </w:p>
    <w:p>
      <w:pPr>
        <w:spacing w:after="60" w:line="120"/>
      </w:pPr>
      <w:r>
        <w:rPr>
          <w:sz w:val="4"/>
          <w:szCs w:val="4"/>
        </w:rPr>
        <w:t xml:space="preserve"/>
      </w:r>
    </w:p>
    <w:p>
      <w:pPr>
        <w:pStyle w:val="Heading2"/>
        <w:keepNext/>
        <w:keepLines/>
        <w:spacing w:after="90" w:before="220"/>
      </w:pPr>
      <w:bookmarkStart w:name="_RG0014" w:id="1"/>
      <w:r>
        <w:t xml:space="preserve">5.2  How the description is verified</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4873"/>
        <w:gridCol w:w="1754"/>
        <w:gridCol w:w="2535"/>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53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Copy the record of processing entry for the activity into Appendix B, or create the entry if none exists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Record of processing entry reference</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Produce a data flow diagram showing every collection point, system, recipient and transfer</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Project owner with system owner</w:t>
            </w:r>
          </w:p>
        </w:tc>
        <w:tc>
          <w:tcPr>
            <w:tcW w:type="dxa" w:w="2535"/>
            <w:shd w:fill="F2F4F6" w:color="auto" w:val="clear"/>
            <w:tcMar>
              <w:top w:type="dxa" w:w="70"/>
              <w:left w:type="dxa" w:w="100"/>
              <w:bottom w:type="dxa" w:w="70"/>
              <w:right w:type="dxa" w:w="100"/>
            </w:tcMar>
            <w:vAlign w:val="top"/>
          </w:tcPr>
          <w:p>
            <w:pPr>
              <w:spacing w:after="0" w:before="0" w:line="252"/>
            </w:pPr>
            <w:r>
              <w:rPr>
                <w:sz w:val="17"/>
                <w:szCs w:val="17"/>
              </w:rPr>
              <w:t xml:space="preserve">Data flow diagram, version dated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Confirm the data categories against the system's actual fields or schema, not its specification</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System or data owner</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Field list or schema export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Confirm processors and sub-processors against the contract and the processor's published sub-processor list</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2535"/>
            <w:shd w:fill="F2F4F6" w:color="auto" w:val="clear"/>
            <w:tcMar>
              <w:top w:type="dxa" w:w="70"/>
              <w:left w:type="dxa" w:w="100"/>
              <w:bottom w:type="dxa" w:w="70"/>
              <w:right w:type="dxa" w:w="100"/>
            </w:tcMar>
            <w:vAlign w:val="top"/>
          </w:tcPr>
          <w:p>
            <w:pPr>
              <w:spacing w:after="0" w:before="0" w:line="252"/>
            </w:pPr>
            <w:r>
              <w:rPr>
                <w:sz w:val="17"/>
                <w:szCs w:val="17"/>
              </w:rPr>
              <w:t xml:space="preserve">Contract reference and sub-processor list as at the assessment date</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Confirm hosting and transfer locations with the processor in writing</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Processor confirmation</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Confirm the retention setting configured in each system matches the stated retention period</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System or data owner</w:t>
            </w:r>
          </w:p>
        </w:tc>
        <w:tc>
          <w:tcPr>
            <w:tcW w:type="dxa" w:w="2535"/>
            <w:shd w:fill="F2F4F6" w:color="auto" w:val="clear"/>
            <w:tcMar>
              <w:top w:type="dxa" w:w="70"/>
              <w:left w:type="dxa" w:w="100"/>
              <w:bottom w:type="dxa" w:w="70"/>
              <w:right w:type="dxa" w:w="100"/>
            </w:tcMar>
            <w:vAlign w:val="top"/>
          </w:tcPr>
          <w:p>
            <w:pPr>
              <w:spacing w:after="0" w:before="0" w:line="252"/>
            </w:pPr>
            <w:r>
              <w:rPr>
                <w:sz w:val="17"/>
                <w:szCs w:val="17"/>
              </w:rPr>
              <w:t xml:space="preserve">Configuration screenshot or export</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7</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Record any difference between the record of processing and the verified facts, and correct the record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Updated record of processing entry</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15" w:id="1"/>
      <w:r>
        <w:t xml:space="preserve">6.  Necessity and proportionality</w:t>
      </w:r>
      <w:bookmarkEnd w:id="1"/>
    </w:p>
    <w:p>
      <w:pPr>
        <w:spacing w:after="130" w:line="262"/>
      </w:pPr>
      <w:r>
        <w:t xml:space="preserve">This stage tests whether the processing is needed for its purpose and whether its intrusion on individuals is in proportion to that purpose. It is recorded in Appendix C. A processing activity that fails this test is redesigned before risk rating begins, because no control reduces the risk of collecting data that should not be collected.</w:t>
      </w:r>
    </w:p>
    <w:p>
      <w:pPr>
        <w:spacing w:after="60" w:line="120"/>
      </w:pPr>
      <w:r>
        <w:rPr>
          <w:sz w:val="4"/>
          <w:szCs w:val="4"/>
        </w:rPr>
        <w:t xml:space="preserve"/>
      </w:r>
    </w:p>
    <w:p>
      <w:pPr>
        <w:pStyle w:val="Heading2"/>
        <w:keepNext/>
        <w:keepLines/>
        <w:spacing w:after="90" w:before="220"/>
      </w:pPr>
      <w:bookmarkStart w:name="_RG0016" w:id="1"/>
      <w:r>
        <w:t xml:space="preserve">6.1  Questions the assessment answers</w:t>
      </w:r>
      <w:bookmarkEnd w:id="1"/>
    </w:p>
    <w:p>
      <w:pPr>
        <w:keepNext/>
        <w:keepLines/>
        <w:pBdr>
          <w:top w:val="single" w:color="D4DAE0" w:sz="4" w:space="9"/>
        </w:pBdr>
        <w:spacing w:after="46" w:before="110"/>
      </w:pPr>
      <w:r>
        <w:rPr>
          <w:b/>
          <w:bCs/>
          <w:color w:val="2E5C7A"/>
          <w:sz w:val="21"/>
          <w:szCs w:val="21"/>
        </w:rPr>
        <w:t xml:space="preserve">Lawful basis</w:t>
      </w:r>
    </w:p>
    <w:p>
      <w:pPr>
        <w:spacing w:after="62" w:line="262"/>
        <w:ind w:left="172"/>
      </w:pPr>
      <w:r>
        <w:t xml:space="preserve">Which lawful basis under the applicable data protection law the organization relies on for each purpose, and for special category or sensitive data the additional condition or consent relied on. The basis is identified by the organization with advice from the DPO or privacy lead and, where uncertain, legal counsel. Where the applicable data protection law requires a benefits and risks weighing, as the Colorado Privacy Act does, the weighing is recorded here and referenced in the sign-off.</w:t>
      </w:r>
    </w:p>
    <w:p>
      <w:pPr>
        <w:keepNext/>
        <w:keepLines/>
        <w:pBdr>
          <w:top w:val="single" w:color="D4DAE0" w:sz="4" w:space="9"/>
        </w:pBdr>
        <w:spacing w:after="46" w:before="170"/>
      </w:pPr>
      <w:r>
        <w:rPr>
          <w:b/>
          <w:bCs/>
          <w:color w:val="2E5C7A"/>
          <w:sz w:val="21"/>
          <w:szCs w:val="21"/>
        </w:rPr>
        <w:t xml:space="preserve">Necessity</w:t>
      </w:r>
    </w:p>
    <w:p>
      <w:pPr>
        <w:spacing w:after="62" w:line="262"/>
        <w:ind w:left="172"/>
      </w:pPr>
      <w:r>
        <w:t xml:space="preserve">Whether the purpose could be achieved with less personal data, less identifiable data, fewer individuals, a shorter period or a less intrusive method. Each alternative considered is recorded with the reason it was rejected.</w:t>
      </w:r>
    </w:p>
    <w:p>
      <w:pPr>
        <w:keepNext/>
        <w:keepLines/>
        <w:pBdr>
          <w:top w:val="single" w:color="D4DAE0" w:sz="4" w:space="9"/>
        </w:pBdr>
        <w:spacing w:after="46" w:before="170"/>
      </w:pPr>
      <w:r>
        <w:rPr>
          <w:b/>
          <w:bCs/>
          <w:color w:val="2E5C7A"/>
          <w:sz w:val="21"/>
          <w:szCs w:val="21"/>
        </w:rPr>
        <w:t xml:space="preserve">Data minimization</w:t>
      </w:r>
    </w:p>
    <w:p>
      <w:pPr>
        <w:spacing w:after="62" w:line="262"/>
        <w:ind w:left="172"/>
      </w:pPr>
      <w:r>
        <w:t xml:space="preserve">For each data category, the specific purpose that requires it. A category without a purpose is removed from the design.</w:t>
      </w:r>
    </w:p>
    <w:p>
      <w:pPr>
        <w:keepNext/>
        <w:keepLines/>
        <w:pBdr>
          <w:top w:val="single" w:color="D4DAE0" w:sz="4" w:space="9"/>
        </w:pBdr>
        <w:spacing w:after="46" w:before="170"/>
      </w:pPr>
      <w:r>
        <w:rPr>
          <w:b/>
          <w:bCs/>
          <w:color w:val="2E5C7A"/>
          <w:sz w:val="21"/>
          <w:szCs w:val="21"/>
        </w:rPr>
        <w:t xml:space="preserve">Accuracy</w:t>
      </w:r>
    </w:p>
    <w:p>
      <w:pPr>
        <w:spacing w:after="62" w:line="262"/>
        <w:ind w:left="172"/>
      </w:pPr>
      <w:r>
        <w:t xml:space="preserve">How the data is kept accurate and up to date, and how an inaccuracy that affects a decision about an individual is corrected.</w:t>
      </w:r>
    </w:p>
    <w:p>
      <w:pPr>
        <w:keepNext/>
        <w:keepLines/>
        <w:pBdr>
          <w:top w:val="single" w:color="D4DAE0" w:sz="4" w:space="9"/>
        </w:pBdr>
        <w:spacing w:after="46" w:before="170"/>
      </w:pPr>
      <w:r>
        <w:rPr>
          <w:b/>
          <w:bCs/>
          <w:color w:val="2E5C7A"/>
          <w:sz w:val="21"/>
          <w:szCs w:val="21"/>
        </w:rPr>
        <w:t xml:space="preserve">Retention justification</w:t>
      </w:r>
    </w:p>
    <w:p>
      <w:pPr>
        <w:spacing w:after="62" w:line="262"/>
        <w:ind w:left="172"/>
      </w:pPr>
      <w:r>
        <w:t xml:space="preserve">Why each retention period is the shortest that meets the purpose and any legal obligation, and the legal obligation relied on where one is cited.</w:t>
      </w:r>
    </w:p>
    <w:p>
      <w:pPr>
        <w:keepNext/>
        <w:keepLines/>
        <w:pBdr>
          <w:top w:val="single" w:color="D4DAE0" w:sz="4" w:space="9"/>
        </w:pBdr>
        <w:spacing w:after="46" w:before="170"/>
      </w:pPr>
      <w:r>
        <w:rPr>
          <w:b/>
          <w:bCs/>
          <w:color w:val="2E5C7A"/>
          <w:sz w:val="21"/>
          <w:szCs w:val="21"/>
        </w:rPr>
        <w:t xml:space="preserve">Transparency</w:t>
      </w:r>
    </w:p>
    <w:p>
      <w:pPr>
        <w:spacing w:after="62" w:line="262"/>
        <w:ind w:left="172"/>
      </w:pPr>
      <w:r>
        <w:t xml:space="preserve">How individuals are told about the processing before it begins, where the notice is, and whether it covers every purpose and recipient in Appendix B.</w:t>
      </w:r>
    </w:p>
    <w:p>
      <w:pPr>
        <w:keepNext/>
        <w:keepLines/>
        <w:pBdr>
          <w:top w:val="single" w:color="D4DAE0" w:sz="4" w:space="9"/>
        </w:pBdr>
        <w:spacing w:after="46" w:before="170"/>
      </w:pPr>
      <w:r>
        <w:rPr>
          <w:b/>
          <w:bCs/>
          <w:color w:val="2E5C7A"/>
          <w:sz w:val="21"/>
          <w:szCs w:val="21"/>
        </w:rPr>
        <w:t xml:space="preserve">Data subject rights</w:t>
      </w:r>
    </w:p>
    <w:p>
      <w:pPr>
        <w:spacing w:after="62" w:line="262"/>
        <w:ind w:left="172"/>
      </w:pPr>
      <w:r>
        <w:t xml:space="preserve">How each right that the applicable data protection law grants is fulfilled for this processing, including access, correction, deletion, objection or opt-out, and rights in relation to automated decisions, and whether the system can actually locate and act on one individual's data.</w:t>
      </w:r>
    </w:p>
    <w:p>
      <w:pPr>
        <w:keepNext/>
        <w:keepLines/>
        <w:pBdr>
          <w:top w:val="single" w:color="D4DAE0" w:sz="4" w:space="9"/>
        </w:pBdr>
        <w:spacing w:after="46" w:before="170"/>
      </w:pPr>
      <w:r>
        <w:rPr>
          <w:b/>
          <w:bCs/>
          <w:color w:val="2E5C7A"/>
          <w:sz w:val="21"/>
          <w:szCs w:val="21"/>
        </w:rPr>
        <w:t xml:space="preserve">Processor terms</w:t>
      </w:r>
    </w:p>
    <w:p>
      <w:pPr>
        <w:spacing w:after="62" w:line="262"/>
        <w:ind w:left="172"/>
      </w:pPr>
      <w:r>
        <w:t xml:space="preserve">Whether each processor is bound by a written contract containing the terms the applicable data protection law requires, and whether the processor's assurances have been checked rather than assumed.</w:t>
      </w:r>
    </w:p>
    <w:p>
      <w:pPr>
        <w:keepNext/>
        <w:keepLines/>
        <w:pBdr>
          <w:top w:val="single" w:color="D4DAE0" w:sz="4" w:space="9"/>
        </w:pBdr>
        <w:spacing w:after="46" w:before="170"/>
      </w:pPr>
      <w:r>
        <w:rPr>
          <w:b/>
          <w:bCs/>
          <w:color w:val="2E5C7A"/>
          <w:sz w:val="21"/>
          <w:szCs w:val="21"/>
        </w:rPr>
        <w:t xml:space="preserve">Function creep</w:t>
      </w:r>
    </w:p>
    <w:p>
      <w:pPr>
        <w:spacing w:after="62" w:line="262"/>
        <w:ind w:left="172"/>
      </w:pPr>
      <w:r>
        <w:t xml:space="preserve">What prevents the data from being used for purposes beyond those assessed, technically and procedurally.</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THE TEST THAT CATCHES MOST PROBLEMS</w:t>
            </w:r>
          </w:p>
          <w:p>
            <w:pPr>
              <w:spacing w:after="0" w:line="262"/>
            </w:pPr>
            <w:r>
              <w:t xml:space="preserve">For each data category in Appendix B, Appendix C names the purpose that requires it and the decision or output that would fail without it. A category for which neither can be named is removed. This single test removes more risk than any later control, because data that is never collected cannot be lost, misused or retained too long.</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17" w:id="1"/>
      <w:r>
        <w:t xml:space="preserve">7.  Consultation</w:t>
      </w:r>
      <w:bookmarkEnd w:id="1"/>
    </w:p>
    <w:p>
      <w:pPr>
        <w:spacing w:after="130" w:line="262"/>
      </w:pPr>
      <w:r>
        <w:t xml:space="preserve">An assessment written by the project team alone describes the processing as the project intends it to work. Consultation finds out how it will actually work and how it will feel to the people it affects. Consultation is planned at the start, carried out before risks are rated, and recorded in Appendix D.</w:t>
      </w:r>
    </w:p>
    <w:p>
      <w:pPr>
        <w:spacing w:after="60" w:line="120"/>
      </w:pPr>
      <w:r>
        <w:rPr>
          <w:sz w:val="4"/>
          <w:szCs w:val="4"/>
        </w:rPr>
        <w:t xml:space="preserve"/>
      </w:r>
    </w:p>
    <w:p>
      <w:pPr>
        <w:pStyle w:val="Heading2"/>
        <w:keepNext/>
        <w:keepLines/>
        <w:spacing w:after="90" w:before="220"/>
      </w:pPr>
      <w:bookmarkStart w:name="_RG0018" w:id="1"/>
      <w:r>
        <w:t xml:space="preserve">7.1  Who is consulted</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2144"/>
        <w:gridCol w:w="3508"/>
        <w:gridCol w:w="1950"/>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Party</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When consulted</w:t>
            </w:r>
          </w:p>
        </w:tc>
        <w:tc>
          <w:tcPr>
            <w:tcW w:type="dxa" w:w="350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What is sought</w:t>
            </w:r>
          </w:p>
        </w:tc>
        <w:tc>
          <w:tcPr>
            <w:tcW w:type="dxa" w:w="195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Required or as appropriate</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DPO or privacy lead</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At screening, before risk rating and before sign-off</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Advice on whether an assessment is needed, the lawful basis, the ratings and whether the processing can proceed</w:t>
            </w:r>
          </w:p>
        </w:tc>
        <w:tc>
          <w:tcPr>
            <w:tcW w:type="dxa" w:w="1950"/>
            <w:shd w:fill="FFFFFF" w:color="auto" w:val="clear"/>
            <w:tcMar>
              <w:top w:type="dxa" w:w="70"/>
              <w:left w:type="dxa" w:w="100"/>
              <w:bottom w:type="dxa" w:w="70"/>
              <w:right w:type="dxa" w:w="100"/>
            </w:tcMar>
            <w:vAlign w:val="top"/>
          </w:tcPr>
          <w:p>
            <w:pPr>
              <w:spacing w:after="0" w:before="0" w:line="252"/>
            </w:pPr>
            <w:r>
              <w:rPr>
                <w:sz w:val="17"/>
                <w:szCs w:val="17"/>
              </w:rPr>
              <w:t xml:space="preserve">Required</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Information security</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During description and risk rating</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Threats, existing controls, evidence of operation</w:t>
            </w:r>
          </w:p>
        </w:tc>
        <w:tc>
          <w:tcPr>
            <w:tcW w:type="dxa" w:w="1950"/>
            <w:shd w:fill="F2F4F6" w:color="auto" w:val="clear"/>
            <w:tcMar>
              <w:top w:type="dxa" w:w="70"/>
              <w:left w:type="dxa" w:w="100"/>
              <w:bottom w:type="dxa" w:w="70"/>
              <w:right w:type="dxa" w:w="100"/>
            </w:tcMar>
            <w:vAlign w:val="top"/>
          </w:tcPr>
          <w:p>
            <w:pPr>
              <w:spacing w:after="0" w:before="0" w:line="252"/>
            </w:pPr>
            <w:r>
              <w:rPr>
                <w:sz w:val="17"/>
                <w:szCs w:val="17"/>
              </w:rPr>
              <w:t xml:space="preserve">Required</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System and data owners</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During description</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Actual data fields, flows, retention settings, access model</w:t>
            </w:r>
          </w:p>
        </w:tc>
        <w:tc>
          <w:tcPr>
            <w:tcW w:type="dxa" w:w="1950"/>
            <w:shd w:fill="FFFFFF" w:color="auto" w:val="clear"/>
            <w:tcMar>
              <w:top w:type="dxa" w:w="70"/>
              <w:left w:type="dxa" w:w="100"/>
              <w:bottom w:type="dxa" w:w="70"/>
              <w:right w:type="dxa" w:w="100"/>
            </w:tcMar>
            <w:vAlign w:val="top"/>
          </w:tcPr>
          <w:p>
            <w:pPr>
              <w:spacing w:after="0" w:before="0" w:line="252"/>
            </w:pPr>
            <w:r>
              <w:rPr>
                <w:sz w:val="17"/>
                <w:szCs w:val="17"/>
              </w:rPr>
              <w:t xml:space="preserve">Required</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Processors</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During description and control mapping</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Location, sub-processors, security measures, breach commitments</w:t>
            </w:r>
          </w:p>
        </w:tc>
        <w:tc>
          <w:tcPr>
            <w:tcW w:type="dxa" w:w="1950"/>
            <w:shd w:fill="F2F4F6" w:color="auto" w:val="clear"/>
            <w:tcMar>
              <w:top w:type="dxa" w:w="70"/>
              <w:left w:type="dxa" w:w="100"/>
              <w:bottom w:type="dxa" w:w="70"/>
              <w:right w:type="dxa" w:w="100"/>
            </w:tcMar>
            <w:vAlign w:val="top"/>
          </w:tcPr>
          <w:p>
            <w:pPr>
              <w:spacing w:after="0" w:before="0" w:line="252"/>
            </w:pPr>
            <w:r>
              <w:rPr>
                <w:sz w:val="17"/>
                <w:szCs w:val="17"/>
              </w:rPr>
              <w:t xml:space="preserve">Required where a processor is used</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Data subjects or their representatives</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Before risk rating</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Their expectations and concerns, and impacts the project has not foreseen</w:t>
            </w:r>
          </w:p>
        </w:tc>
        <w:tc>
          <w:tcPr>
            <w:tcW w:type="dxa" w:w="1950"/>
            <w:shd w:fill="FFFFFF" w:color="auto" w:val="clear"/>
            <w:tcMar>
              <w:top w:type="dxa" w:w="70"/>
              <w:left w:type="dxa" w:w="100"/>
              <w:bottom w:type="dxa" w:w="70"/>
              <w:right w:type="dxa" w:w="100"/>
            </w:tcMar>
            <w:vAlign w:val="top"/>
          </w:tcPr>
          <w:p>
            <w:pPr>
              <w:spacing w:after="0" w:before="0" w:line="252"/>
            </w:pPr>
            <w:r>
              <w:rPr>
                <w:sz w:val="17"/>
                <w:szCs w:val="17"/>
              </w:rPr>
              <w:t xml:space="preserve">Where appropriate, see below</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Employee representatives</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Before risk rating, where employees are data subjects</w:t>
            </w:r>
          </w:p>
        </w:tc>
        <w:tc>
          <w:tcPr>
            <w:tcW w:type="dxa" w:w="3508"/>
            <w:shd w:fill="F2F4F6" w:color="auto" w:val="clear"/>
            <w:tcMar>
              <w:top w:type="dxa" w:w="70"/>
              <w:left w:type="dxa" w:w="100"/>
              <w:bottom w:type="dxa" w:w="70"/>
              <w:right w:type="dxa" w:w="100"/>
            </w:tcMar>
            <w:vAlign w:val="top"/>
          </w:tcPr>
          <w:p>
            <w:pPr>
              <w:spacing w:after="0" w:before="0" w:line="252"/>
            </w:pPr>
            <w:r>
              <w:rPr>
                <w:sz w:val="17"/>
                <w:szCs w:val="17"/>
              </w:rPr>
              <w:t xml:space="preserve">Concerns about monitoring, evaluation and use in employment decisions</w:t>
            </w:r>
          </w:p>
        </w:tc>
        <w:tc>
          <w:tcPr>
            <w:tcW w:type="dxa" w:w="1950"/>
            <w:shd w:fill="F2F4F6" w:color="auto" w:val="clear"/>
            <w:tcMar>
              <w:top w:type="dxa" w:w="70"/>
              <w:left w:type="dxa" w:w="100"/>
              <w:bottom w:type="dxa" w:w="70"/>
              <w:right w:type="dxa" w:w="100"/>
            </w:tcMar>
            <w:vAlign w:val="top"/>
          </w:tcPr>
          <w:p>
            <w:pPr>
              <w:spacing w:after="0" w:before="0" w:line="252"/>
            </w:pPr>
            <w:r>
              <w:rPr>
                <w:sz w:val="17"/>
                <w:szCs w:val="17"/>
              </w:rPr>
              <w:t xml:space="preserve">Where a representative body exists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Legal counsel</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Where the lawful basis, a transfer or prior consultation is in question</w:t>
            </w:r>
          </w:p>
        </w:tc>
        <w:tc>
          <w:tcPr>
            <w:tcW w:type="dxa" w:w="3508"/>
            <w:shd w:fill="FFFFFF" w:color="auto" w:val="clear"/>
            <w:tcMar>
              <w:top w:type="dxa" w:w="70"/>
              <w:left w:type="dxa" w:w="100"/>
              <w:bottom w:type="dxa" w:w="70"/>
              <w:right w:type="dxa" w:w="100"/>
            </w:tcMar>
            <w:vAlign w:val="top"/>
          </w:tcPr>
          <w:p>
            <w:pPr>
              <w:spacing w:after="0" w:before="0" w:line="252"/>
            </w:pPr>
            <w:r>
              <w:rPr>
                <w:sz w:val="17"/>
                <w:szCs w:val="17"/>
              </w:rPr>
              <w:t xml:space="preserve">Legal position</w:t>
            </w:r>
          </w:p>
        </w:tc>
        <w:tc>
          <w:tcPr>
            <w:tcW w:type="dxa" w:w="1950"/>
            <w:shd w:fill="FFFFFF" w:color="auto" w:val="clear"/>
            <w:tcMar>
              <w:top w:type="dxa" w:w="70"/>
              <w:left w:type="dxa" w:w="100"/>
              <w:bottom w:type="dxa" w:w="70"/>
              <w:right w:type="dxa" w:w="100"/>
            </w:tcMar>
            <w:vAlign w:val="top"/>
          </w:tcPr>
          <w:p>
            <w:pPr>
              <w:spacing w:after="0" w:before="0" w:line="252"/>
            </w:pPr>
            <w:r>
              <w:rPr>
                <w:sz w:val="17"/>
                <w:szCs w:val="17"/>
              </w:rPr>
              <w:t xml:space="preserve">As needed</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19" w:id="1"/>
      <w:r>
        <w:t xml:space="preserve">7.2  Seeking the views of data subjects</w:t>
      </w:r>
      <w:bookmarkEnd w:id="1"/>
    </w:p>
    <w:p>
      <w:pPr>
        <w:spacing w:after="130" w:line="262"/>
      </w:pPr>
      <w:r>
        <w:t xml:space="preserve">The views of data subjects or their representatives are sought where appropriate. It is appropriate where the processing is new to the individuals, where it monitors or evaluates them, where they are vulnerable, or where its effect on them could be significant. The method is proportionate to the processing: a short survey, a focus group, a discussion with an employee forum, a user research session, or a review of complaints and queries received about similar processing.</w:t>
      </w:r>
    </w:p>
    <w:p>
      <w:pPr>
        <w:spacing w:after="130" w:line="262"/>
      </w:pPr>
      <w:r>
        <w:t xml:space="preserve">Where views are not sought, Appendix D records why, for example that consultation would compromise security, would be disproportionate to a low-risk change, or that the individuals cannot reasonably be identified in advance. Where views are sought and the organization proceeds contrary to them, the reason is recorded.</w:t>
      </w:r>
    </w:p>
    <w:p>
      <w:pPr>
        <w:spacing w:after="60" w:line="120"/>
      </w:pPr>
      <w:r>
        <w:rPr>
          <w:sz w:val="4"/>
          <w:szCs w:val="4"/>
        </w:rPr>
        <w:t xml:space="preserve"/>
      </w:r>
    </w:p>
    <w:p>
      <w:pPr>
        <w:pStyle w:val="Heading2"/>
        <w:keepNext/>
        <w:keepLines/>
        <w:spacing w:after="90" w:before="220"/>
      </w:pPr>
      <w:bookmarkStart w:name="_RG0020" w:id="1"/>
      <w:r>
        <w:t xml:space="preserve">7.3  Recording advice that is not followed</w:t>
      </w:r>
      <w:bookmarkEnd w:id="1"/>
    </w:p>
    <w:p>
      <w:pPr>
        <w:spacing w:after="130" w:line="262"/>
      </w:pPr>
      <w:r>
        <w:t xml:space="preserve">The advice of the DPO or privacy lead is recorded in Appendix G in their own words. Where the senior accountable owner decides against that advice, the decision and the reasons for it are recorded beside it and signed. An assessment in which the advice and the decision are recorded in the same voice, by the same person, does not show that independent advice was given.</w:t>
      </w:r>
    </w:p>
    <w:p>
      <w:pPr>
        <w:spacing w:after="60" w:line="120"/>
      </w:pPr>
      <w:r>
        <w:rPr>
          <w:sz w:val="4"/>
          <w:szCs w:val="4"/>
        </w:rPr>
        <w:t xml:space="preserve"/>
      </w:r>
    </w:p>
    <w:p>
      <w:pPr>
        <w:pStyle w:val="Heading1"/>
        <w:keepNext/>
        <w:keepLines/>
        <w:pBdr>
          <w:bottom w:val="single" w:color="D4DAE0" w:sz="4" w:space="4"/>
        </w:pBdr>
        <w:spacing w:after="140" w:before="300"/>
      </w:pPr>
      <w:bookmarkStart w:name="_RG0021" w:id="1"/>
      <w:r>
        <w:t xml:space="preserve">8.  Identifying risks</w:t>
      </w:r>
      <w:bookmarkEnd w:id="1"/>
    </w:p>
    <w:p>
      <w:pPr>
        <w:spacing w:after="130" w:line="262"/>
      </w:pPr>
      <w:r>
        <w:t xml:space="preserve">A risk in this assessment is a possible event or outcome that would harm an individual whose data is processed. It is described from that individual's point of view, in terms of what happens to them, not in terms of what happens to the organization.</w:t>
      </w:r>
    </w:p>
    <w:p>
      <w:pPr>
        <w:spacing w:after="60" w:line="120"/>
      </w:pPr>
      <w:r>
        <w:rPr>
          <w:sz w:val="4"/>
          <w:szCs w:val="4"/>
        </w:rPr>
        <w:t xml:space="preserve"/>
      </w:r>
    </w:p>
    <w:p>
      <w:pPr>
        <w:pStyle w:val="Heading2"/>
        <w:keepNext/>
        <w:keepLines/>
        <w:spacing w:after="90" w:before="220"/>
      </w:pPr>
      <w:bookmarkStart w:name="_RG0022" w:id="1"/>
      <w:r>
        <w:t xml:space="preserve">8.1  Sources of risk</w:t>
      </w:r>
      <w:bookmarkEnd w:id="1"/>
    </w:p>
    <w:p>
      <w:pPr>
        <w:spacing w:after="130" w:line="262"/>
      </w:pPr>
      <w:r>
        <w:t xml:space="preserve">Each risk is traced to a source. The three security sources are the basis of the security risks; the processing sources capture harm that occurs even when security works perfectly.</w:t>
      </w:r>
    </w:p>
    <w:p>
      <w:pPr>
        <w:keepNext/>
        <w:keepLines/>
        <w:pBdr>
          <w:top w:val="single" w:color="D4DAE0" w:sz="4" w:space="9"/>
        </w:pBdr>
        <w:spacing w:after="46" w:before="110"/>
      </w:pPr>
      <w:r>
        <w:rPr>
          <w:b/>
          <w:bCs/>
          <w:color w:val="2E5C7A"/>
          <w:sz w:val="21"/>
          <w:szCs w:val="21"/>
        </w:rPr>
        <w:t xml:space="preserve">Illegitimate access</w:t>
      </w:r>
    </w:p>
    <w:p>
      <w:pPr>
        <w:spacing w:after="62" w:line="262"/>
        <w:ind w:left="172"/>
      </w:pPr>
      <w:r>
        <w:t xml:space="preserve">Personal data is seen, copied or disclosed by someone not authorized to do so: an external attacker, an insider exceeding their access, a processor's staff, or an accidental disclosure such as a misdirected email or an incorrect permission.</w:t>
      </w:r>
    </w:p>
    <w:p>
      <w:pPr>
        <w:keepNext/>
        <w:keepLines/>
        <w:pBdr>
          <w:top w:val="single" w:color="D4DAE0" w:sz="4" w:space="9"/>
        </w:pBdr>
        <w:spacing w:after="46" w:before="170"/>
      </w:pPr>
      <w:r>
        <w:rPr>
          <w:b/>
          <w:bCs/>
          <w:color w:val="2E5C7A"/>
          <w:sz w:val="21"/>
          <w:szCs w:val="21"/>
        </w:rPr>
        <w:t xml:space="preserve">Unwanted modification</w:t>
      </w:r>
    </w:p>
    <w:p>
      <w:pPr>
        <w:spacing w:after="62" w:line="262"/>
        <w:ind w:left="172"/>
      </w:pPr>
      <w:r>
        <w:t xml:space="preserve">Personal data is altered without authorization or in error, so that a decision about an individual is based on inaccurate information.</w:t>
      </w:r>
    </w:p>
    <w:p>
      <w:pPr>
        <w:keepNext/>
        <w:keepLines/>
        <w:pBdr>
          <w:top w:val="single" w:color="D4DAE0" w:sz="4" w:space="9"/>
        </w:pBdr>
        <w:spacing w:after="46" w:before="170"/>
      </w:pPr>
      <w:r>
        <w:rPr>
          <w:b/>
          <w:bCs/>
          <w:color w:val="2E5C7A"/>
          <w:sz w:val="21"/>
          <w:szCs w:val="21"/>
        </w:rPr>
        <w:t xml:space="preserve">Disappearance</w:t>
      </w:r>
    </w:p>
    <w:p>
      <w:pPr>
        <w:spacing w:after="62" w:line="262"/>
        <w:ind w:left="172"/>
      </w:pPr>
      <w:r>
        <w:t xml:space="preserve">Personal data is lost, deleted or made unavailable, so that an individual cannot obtain a service, exercise a right or prove an entitlement.</w:t>
      </w:r>
    </w:p>
    <w:p>
      <w:pPr>
        <w:keepNext/>
        <w:keepLines/>
        <w:pBdr>
          <w:top w:val="single" w:color="D4DAE0" w:sz="4" w:space="9"/>
        </w:pBdr>
        <w:spacing w:after="46" w:before="170"/>
      </w:pPr>
      <w:r>
        <w:rPr>
          <w:b/>
          <w:bCs/>
          <w:color w:val="2E5C7A"/>
          <w:sz w:val="21"/>
          <w:szCs w:val="21"/>
        </w:rPr>
        <w:t xml:space="preserve">The processing itself</w:t>
      </w:r>
    </w:p>
    <w:p>
      <w:pPr>
        <w:spacing w:after="62" w:line="262"/>
        <w:ind w:left="172"/>
      </w:pPr>
      <w:r>
        <w:t xml:space="preserve">Harm arising from the processing operating exactly as designed: excessive collection, use beyond the stated purpose, unfair or opaque automated decisions, unexpected monitoring, retention beyond need, or an individual being unable to exercise a right.</w:t>
      </w:r>
    </w:p>
    <w:p>
      <w:pPr>
        <w:spacing w:after="60" w:line="120"/>
      </w:pPr>
      <w:r>
        <w:rPr>
          <w:sz w:val="4"/>
          <w:szCs w:val="4"/>
        </w:rPr>
        <w:t xml:space="preserve"/>
      </w:r>
    </w:p>
    <w:p>
      <w:pPr>
        <w:pStyle w:val="Heading2"/>
        <w:keepNext/>
        <w:keepLines/>
        <w:spacing w:after="90" w:before="220"/>
      </w:pPr>
      <w:bookmarkStart w:name="_RG0023" w:id="1"/>
      <w:r>
        <w:t xml:space="preserve">8.2  Impacts on rights and freedoms</w:t>
      </w:r>
      <w:bookmarkEnd w:id="1"/>
    </w:p>
    <w:p>
      <w:pPr>
        <w:spacing w:after="130" w:line="262"/>
      </w:pPr>
      <w:r>
        <w:t xml:space="preserve">For each risk, the assessment states the specific impact on individuals. The following list is used as a prompt, not as a limit:</w:t>
      </w:r>
    </w:p>
    <w:p>
      <w:pPr>
        <w:pStyle w:val="ListParagraph"/>
        <w:numPr>
          <w:ilvl w:val="0"/>
          <w:numId w:val="2"/>
        </w:numPr>
        <w:spacing w:after="60" w:line="262"/>
      </w:pPr>
      <w:r>
        <w:t xml:space="preserve">Inability to exercise rights or to access services or opportunities.</w:t>
      </w:r>
    </w:p>
    <w:p>
      <w:pPr>
        <w:pStyle w:val="ListParagraph"/>
        <w:numPr>
          <w:ilvl w:val="0"/>
          <w:numId w:val="2"/>
        </w:numPr>
        <w:spacing w:after="60" w:line="262"/>
      </w:pPr>
      <w:r>
        <w:t xml:space="preserve">Loss of control over the use of personal data.</w:t>
      </w:r>
    </w:p>
    <w:p>
      <w:pPr>
        <w:pStyle w:val="ListParagraph"/>
        <w:numPr>
          <w:ilvl w:val="0"/>
          <w:numId w:val="2"/>
        </w:numPr>
        <w:spacing w:after="60" w:line="262"/>
      </w:pPr>
      <w:r>
        <w:t xml:space="preserve">Discrimination or unfair, deceptive or disparate treatment.</w:t>
      </w:r>
    </w:p>
    <w:p>
      <w:pPr>
        <w:pStyle w:val="ListParagraph"/>
        <w:numPr>
          <w:ilvl w:val="0"/>
          <w:numId w:val="2"/>
        </w:numPr>
        <w:spacing w:after="60" w:line="262"/>
      </w:pPr>
      <w:r>
        <w:t xml:space="preserve">Identity theft or fraud.</w:t>
      </w:r>
    </w:p>
    <w:p>
      <w:pPr>
        <w:pStyle w:val="ListParagraph"/>
        <w:numPr>
          <w:ilvl w:val="0"/>
          <w:numId w:val="2"/>
        </w:numPr>
        <w:spacing w:after="60" w:line="262"/>
      </w:pPr>
      <w:r>
        <w:t xml:space="preserve">Financial loss or economic disadvantage.</w:t>
      </w:r>
    </w:p>
    <w:p>
      <w:pPr>
        <w:pStyle w:val="ListParagraph"/>
        <w:numPr>
          <w:ilvl w:val="0"/>
          <w:numId w:val="2"/>
        </w:numPr>
        <w:spacing w:after="60" w:line="262"/>
      </w:pPr>
      <w:r>
        <w:t xml:space="preserve">Damage to reputation or relationships.</w:t>
      </w:r>
    </w:p>
    <w:p>
      <w:pPr>
        <w:pStyle w:val="ListParagraph"/>
        <w:numPr>
          <w:ilvl w:val="0"/>
          <w:numId w:val="2"/>
        </w:numPr>
        <w:spacing w:after="60" w:line="262"/>
      </w:pPr>
      <w:r>
        <w:t xml:space="preserve">Physical harm, including harm resulting from a person's location or identity being disclosed.</w:t>
      </w:r>
    </w:p>
    <w:p>
      <w:pPr>
        <w:pStyle w:val="ListParagraph"/>
        <w:numPr>
          <w:ilvl w:val="0"/>
          <w:numId w:val="2"/>
        </w:numPr>
        <w:spacing w:after="60" w:line="262"/>
      </w:pPr>
      <w:r>
        <w:t xml:space="preserve">Loss of confidentiality of information the individual reasonably expected to remain private, including special category data.</w:t>
      </w:r>
    </w:p>
    <w:p>
      <w:pPr>
        <w:pStyle w:val="ListParagraph"/>
        <w:numPr>
          <w:ilvl w:val="0"/>
          <w:numId w:val="2"/>
        </w:numPr>
        <w:spacing w:after="60" w:line="262"/>
      </w:pPr>
      <w:r>
        <w:t xml:space="preserve">Re-identification of pseudonymized or de-identified data.</w:t>
      </w:r>
    </w:p>
    <w:p>
      <w:pPr>
        <w:pStyle w:val="ListParagraph"/>
        <w:numPr>
          <w:ilvl w:val="0"/>
          <w:numId w:val="2"/>
        </w:numPr>
        <w:spacing w:after="60" w:line="262"/>
      </w:pPr>
      <w:r>
        <w:t xml:space="preserve">Psychological distress, intrusion or the effect of being monitored.</w:t>
      </w:r>
    </w:p>
    <w:p>
      <w:pPr>
        <w:pStyle w:val="ListParagraph"/>
        <w:numPr>
          <w:ilvl w:val="0"/>
          <w:numId w:val="2"/>
        </w:numPr>
        <w:spacing w:after="60" w:line="262"/>
      </w:pPr>
      <w:r>
        <w:t xml:space="preserve">Any other significant economic or social disadvantage.</w:t>
      </w:r>
    </w:p>
    <w:p>
      <w:pPr>
        <w:spacing w:after="60" w:line="120"/>
      </w:pPr>
      <w:r>
        <w:rPr>
          <w:sz w:val="4"/>
          <w:szCs w:val="4"/>
        </w:rPr>
        <w:t xml:space="preserve"/>
      </w:r>
    </w:p>
    <w:p>
      <w:pPr>
        <w:pStyle w:val="Heading2"/>
        <w:keepNext/>
        <w:keepLines/>
        <w:spacing w:after="90" w:before="220"/>
      </w:pPr>
      <w:bookmarkStart w:name="_RG0024" w:id="1"/>
      <w:r>
        <w:t xml:space="preserve">8.3  Method</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4873"/>
        <w:gridCol w:w="1754"/>
        <w:gridCol w:w="2535"/>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53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Walk the data flow diagram from collection to deletion and, at each point, ask what could happen to the individual through each of the four sources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Project owner with information security</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Draft risk list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Add impacts raised during consultation</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2535"/>
            <w:shd w:fill="F2F4F6" w:color="auto" w:val="clear"/>
            <w:tcMar>
              <w:top w:type="dxa" w:w="70"/>
              <w:left w:type="dxa" w:w="100"/>
              <w:bottom w:type="dxa" w:w="70"/>
              <w:right w:type="dxa" w:w="100"/>
            </w:tcMar>
            <w:vAlign w:val="top"/>
          </w:tcPr>
          <w:p>
            <w:pPr>
              <w:spacing w:after="0" w:before="0" w:line="252"/>
            </w:pPr>
            <w:r>
              <w:rPr>
                <w:sz w:val="17"/>
                <w:szCs w:val="17"/>
              </w:rPr>
              <w:t xml:space="preserve">Appendix D cross-referenced to risk IDs</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Add risks from any prior incident, complaint or audit finding involving similar processing</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DPO or privacy lead</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Incident and complaint references</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Write each risk as: source, event, impact on the individual. Merge duplicates; split any risk that combines two different impacts</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2535"/>
            <w:shd w:fill="F2F4F6" w:color="auto" w:val="clear"/>
            <w:tcMar>
              <w:top w:type="dxa" w:w="70"/>
              <w:left w:type="dxa" w:w="100"/>
              <w:bottom w:type="dxa" w:w="70"/>
              <w:right w:type="dxa" w:w="100"/>
            </w:tcMar>
            <w:vAlign w:val="top"/>
          </w:tcPr>
          <w:p>
            <w:pPr>
              <w:spacing w:after="0" w:before="0" w:line="252"/>
            </w:pPr>
            <w:r>
              <w:rPr>
                <w:sz w:val="17"/>
                <w:szCs w:val="17"/>
              </w:rPr>
              <w:t xml:space="preserve">Appendix E, columns 1 to 4</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Assign each risk a unique ID in the form DPIA reference followed by R and a sequence number</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Risk IDs in Appendix E</w:t>
            </w:r>
          </w:p>
        </w:tc>
      </w:tr>
    </w:tbl>
    <w:p>
      <w:pPr>
        <w:spacing w:after="120" w:line="120"/>
      </w:pPr>
      <w:r>
        <w:rPr>
          <w:sz w:val="4"/>
          <w:szCs w:val="4"/>
        </w:rPr>
        <w:t xml:space="preserve"/>
      </w:r>
    </w:p>
    <w:p>
      <w:pPr>
        <w:spacing w:after="130" w:line="262"/>
      </w:pPr>
      <w:r>
        <w:t xml:space="preserve">A well-written risk names who is affected and how. 'Data breach' is not a risk statement. 'An unauthorized party obtains employee bank details from the payroll export, allowing payments to be redirected and causing financial loss to employees' is.</w:t>
      </w:r>
    </w:p>
    <w:p>
      <w:pPr>
        <w:spacing w:after="60" w:line="120"/>
      </w:pPr>
      <w:r>
        <w:rPr>
          <w:sz w:val="4"/>
          <w:szCs w:val="4"/>
        </w:rPr>
        <w:t xml:space="preserve"/>
      </w:r>
    </w:p>
    <w:p>
      <w:pPr>
        <w:pStyle w:val="Heading1"/>
        <w:keepNext/>
        <w:keepLines/>
        <w:pBdr>
          <w:bottom w:val="single" w:color="D4DAE0" w:sz="4" w:space="4"/>
        </w:pBdr>
        <w:spacing w:after="140" w:before="300"/>
      </w:pPr>
      <w:bookmarkStart w:name="_RG0025" w:id="1"/>
      <w:r>
        <w:t xml:space="preserve">9.  Rating risk</w:t>
      </w:r>
      <w:bookmarkEnd w:id="1"/>
    </w:p>
    <w:p>
      <w:pPr>
        <w:spacing w:after="130" w:line="262"/>
      </w:pPr>
      <w:r>
        <w:t xml:space="preserve">Each risk is rated twice: inherent, before the controls specific to this processing are considered, and residual, after them. Both ratings use the scales below, so that the effect of the controls is visible as the difference between the two.</w:t>
      </w:r>
    </w:p>
    <w:p>
      <w:pPr>
        <w:spacing w:after="60" w:line="120"/>
      </w:pPr>
      <w:r>
        <w:rPr>
          <w:sz w:val="4"/>
          <w:szCs w:val="4"/>
        </w:rPr>
        <w:t xml:space="preserve"/>
      </w:r>
    </w:p>
    <w:p>
      <w:pPr>
        <w:pStyle w:val="Heading2"/>
        <w:keepNext/>
        <w:keepLines/>
        <w:spacing w:after="90" w:before="220"/>
      </w:pPr>
      <w:bookmarkStart w:name="_RG0026" w:id="1"/>
      <w:r>
        <w:t xml:space="preserve">9.1  Likelihood scale</w:t>
      </w:r>
      <w:bookmarkEnd w:id="1"/>
    </w:p>
    <w:p>
      <w:pPr>
        <w:spacing w:after="130" w:line="262"/>
      </w:pPr>
      <w:r>
        <w:t xml:space="preserve">Likelihood is the chance that the harm occurs to at least one individual within the life of the processing, or within three years where the processing has no defined end.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
        <w:gridCol w:w="1754"/>
        <w:gridCol w:w="7018"/>
      </w:tblGrid>
      <w:tr>
        <w:trPr>
          <w:cantSplit/>
          <w:tblHeader/>
        </w:trPr>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Score</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Level</w:t>
            </w:r>
          </w:p>
        </w:tc>
        <w:tc>
          <w:tcPr>
            <w:tcW w:type="dxa" w:w="70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Description</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1</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Remote</w:t>
            </w:r>
          </w:p>
        </w:tc>
        <w:tc>
          <w:tcPr>
            <w:tcW w:type="dxa" w:w="7018"/>
            <w:shd w:fill="FFFFFF" w:color="auto" w:val="clear"/>
            <w:tcMar>
              <w:top w:type="dxa" w:w="70"/>
              <w:left w:type="dxa" w:w="100"/>
              <w:bottom w:type="dxa" w:w="70"/>
              <w:right w:type="dxa" w:w="100"/>
            </w:tcMar>
            <w:vAlign w:val="top"/>
          </w:tcPr>
          <w:p>
            <w:pPr>
              <w:spacing w:after="0" w:before="0" w:line="252"/>
            </w:pPr>
            <w:r>
              <w:rPr>
                <w:sz w:val="17"/>
                <w:szCs w:val="17"/>
              </w:rPr>
              <w:t xml:space="preserve">Not expected to occur. Would require several independent controls to fail at once, or a determined and well-resourced attacker with no known interest in this data. No known occurrence in comparable processing.</w:t>
            </w:r>
          </w:p>
        </w:tc>
      </w:tr>
      <w:tr>
        <w:trPr>
          <w:cantSplit/>
        </w:trPr>
        <w:tc>
          <w:tcPr>
            <w:tcW w:type="dxa" w:w="974"/>
            <w:shd w:fill="F2F4F6" w:color="auto" w:val="clear"/>
            <w:tcMar>
              <w:top w:type="dxa" w:w="70"/>
              <w:left w:type="dxa" w:w="100"/>
              <w:bottom w:type="dxa" w:w="70"/>
              <w:right w:type="dxa" w:w="100"/>
            </w:tcMar>
            <w:vAlign w:val="top"/>
          </w:tcPr>
          <w:p>
            <w:pPr>
              <w:spacing w:after="0" w:before="0" w:line="252"/>
            </w:pPr>
            <w:r>
              <w:rPr>
                <w:sz w:val="17"/>
                <w:szCs w:val="17"/>
              </w:rPr>
              <w:t xml:space="preserve">2</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Possible</w:t>
            </w:r>
          </w:p>
        </w:tc>
        <w:tc>
          <w:tcPr>
            <w:tcW w:type="dxa" w:w="7018"/>
            <w:shd w:fill="F2F4F6" w:color="auto" w:val="clear"/>
            <w:tcMar>
              <w:top w:type="dxa" w:w="70"/>
              <w:left w:type="dxa" w:w="100"/>
              <w:bottom w:type="dxa" w:w="70"/>
              <w:right w:type="dxa" w:w="100"/>
            </w:tcMar>
            <w:vAlign w:val="top"/>
          </w:tcPr>
          <w:p>
            <w:pPr>
              <w:spacing w:after="0" w:before="0" w:line="252"/>
            </w:pPr>
            <w:r>
              <w:rPr>
                <w:sz w:val="17"/>
                <w:szCs w:val="17"/>
              </w:rPr>
              <w:t xml:space="preserve">Could occur. Has occurred in comparable processing elsewhere, or depends on a single control failing or a single person making an error that the process does not catch.</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Likely</w:t>
            </w:r>
          </w:p>
        </w:tc>
        <w:tc>
          <w:tcPr>
            <w:tcW w:type="dxa" w:w="7018"/>
            <w:shd w:fill="FFFFFF" w:color="auto" w:val="clear"/>
            <w:tcMar>
              <w:top w:type="dxa" w:w="70"/>
              <w:left w:type="dxa" w:w="100"/>
              <w:bottom w:type="dxa" w:w="70"/>
              <w:right w:type="dxa" w:w="100"/>
            </w:tcMar>
            <w:vAlign w:val="top"/>
          </w:tcPr>
          <w:p>
            <w:pPr>
              <w:spacing w:after="0" w:before="0" w:line="252"/>
            </w:pPr>
            <w:r>
              <w:rPr>
                <w:sz w:val="17"/>
                <w:szCs w:val="17"/>
              </w:rPr>
              <w:t xml:space="preserve">Expected to occur at some point. A known weakness exists, the data is an attractive target, or the harm depends on a manual step performed many times a year.</w:t>
            </w:r>
          </w:p>
        </w:tc>
      </w:tr>
      <w:tr>
        <w:trPr>
          <w:cantSplit/>
        </w:trPr>
        <w:tc>
          <w:tcPr>
            <w:tcW w:type="dxa" w:w="974"/>
            <w:shd w:fill="F2F4F6" w:color="auto" w:val="clear"/>
            <w:tcMar>
              <w:top w:type="dxa" w:w="70"/>
              <w:left w:type="dxa" w:w="100"/>
              <w:bottom w:type="dxa" w:w="70"/>
              <w:right w:type="dxa" w:w="100"/>
            </w:tcMar>
            <w:vAlign w:val="top"/>
          </w:tcPr>
          <w:p>
            <w:pPr>
              <w:spacing w:after="0" w:before="0" w:line="252"/>
            </w:pPr>
            <w:r>
              <w:rPr>
                <w:sz w:val="17"/>
                <w:szCs w:val="17"/>
              </w:rPr>
              <w:t xml:space="preserve">4</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Almost certain</w:t>
            </w:r>
          </w:p>
        </w:tc>
        <w:tc>
          <w:tcPr>
            <w:tcW w:type="dxa" w:w="7018"/>
            <w:shd w:fill="F2F4F6" w:color="auto" w:val="clear"/>
            <w:tcMar>
              <w:top w:type="dxa" w:w="70"/>
              <w:left w:type="dxa" w:w="100"/>
              <w:bottom w:type="dxa" w:w="70"/>
              <w:right w:type="dxa" w:w="100"/>
            </w:tcMar>
            <w:vAlign w:val="top"/>
          </w:tcPr>
          <w:p>
            <w:pPr>
              <w:spacing w:after="0" w:before="0" w:line="252"/>
            </w:pPr>
            <w:r>
              <w:rPr>
                <w:sz w:val="17"/>
                <w:szCs w:val="17"/>
              </w:rPr>
              <w:t xml:space="preserve">Will occur, or is occurring. The harm is a direct consequence of the processing as designed, or a known weakness is being actively exploited in comparable processing.</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27" w:id="1"/>
      <w:r>
        <w:t xml:space="preserve">9.2  Severity scale</w:t>
      </w:r>
      <w:bookmarkEnd w:id="1"/>
    </w:p>
    <w:p>
      <w:pPr>
        <w:spacing w:after="130" w:line="262"/>
      </w:pPr>
      <w:r>
        <w:t xml:space="preserve">Severity is the impact on the individuals most affected if the harm occurs, taking account of the number of individuals, the reversibility of the harm and the vulnerability of the people affected. When unsure between two levels, the higher is used.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
        <w:gridCol w:w="1754"/>
        <w:gridCol w:w="7018"/>
      </w:tblGrid>
      <w:tr>
        <w:trPr>
          <w:cantSplit/>
          <w:tblHeader/>
        </w:trPr>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Score</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Level</w:t>
            </w:r>
          </w:p>
        </w:tc>
        <w:tc>
          <w:tcPr>
            <w:tcW w:type="dxa" w:w="70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Description</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1</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Minimal</w:t>
            </w:r>
          </w:p>
        </w:tc>
        <w:tc>
          <w:tcPr>
            <w:tcW w:type="dxa" w:w="7018"/>
            <w:shd w:fill="FFFFFF" w:color="auto" w:val="clear"/>
            <w:tcMar>
              <w:top w:type="dxa" w:w="70"/>
              <w:left w:type="dxa" w:w="100"/>
              <w:bottom w:type="dxa" w:w="70"/>
              <w:right w:type="dxa" w:w="100"/>
            </w:tcMar>
            <w:vAlign w:val="top"/>
          </w:tcPr>
          <w:p>
            <w:pPr>
              <w:spacing w:after="0" w:before="0" w:line="252"/>
            </w:pPr>
            <w:r>
              <w:rPr>
                <w:sz w:val="17"/>
                <w:szCs w:val="17"/>
              </w:rPr>
              <w:t xml:space="preserve">Inconvenience the individual overcomes without difficulty: time spent re-entering information, irritation, an unwanted but harmless message.</w:t>
            </w:r>
          </w:p>
        </w:tc>
      </w:tr>
      <w:tr>
        <w:trPr>
          <w:cantSplit/>
        </w:trPr>
        <w:tc>
          <w:tcPr>
            <w:tcW w:type="dxa" w:w="974"/>
            <w:shd w:fill="F2F4F6" w:color="auto" w:val="clear"/>
            <w:tcMar>
              <w:top w:type="dxa" w:w="70"/>
              <w:left w:type="dxa" w:w="100"/>
              <w:bottom w:type="dxa" w:w="70"/>
              <w:right w:type="dxa" w:w="100"/>
            </w:tcMar>
            <w:vAlign w:val="top"/>
          </w:tcPr>
          <w:p>
            <w:pPr>
              <w:spacing w:after="0" w:before="0" w:line="252"/>
            </w:pPr>
            <w:r>
              <w:rPr>
                <w:sz w:val="17"/>
                <w:szCs w:val="17"/>
              </w:rPr>
              <w:t xml:space="preserve">2</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Significant</w:t>
            </w:r>
          </w:p>
        </w:tc>
        <w:tc>
          <w:tcPr>
            <w:tcW w:type="dxa" w:w="7018"/>
            <w:shd w:fill="F2F4F6" w:color="auto" w:val="clear"/>
            <w:tcMar>
              <w:top w:type="dxa" w:w="70"/>
              <w:left w:type="dxa" w:w="100"/>
              <w:bottom w:type="dxa" w:w="70"/>
              <w:right w:type="dxa" w:w="100"/>
            </w:tcMar>
            <w:vAlign w:val="top"/>
          </w:tcPr>
          <w:p>
            <w:pPr>
              <w:spacing w:after="0" w:before="0" w:line="252"/>
            </w:pPr>
            <w:r>
              <w:rPr>
                <w:sz w:val="17"/>
                <w:szCs w:val="17"/>
              </w:rPr>
              <w:t xml:space="preserve">Difficulties the individual can overcome with some effort: additional cost, denial of a service that can be obtained another way, stress, minor embarrassment, a temporary loss of control over data.</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Serious</w:t>
            </w:r>
          </w:p>
        </w:tc>
        <w:tc>
          <w:tcPr>
            <w:tcW w:type="dxa" w:w="7018"/>
            <w:shd w:fill="FFFFFF" w:color="auto" w:val="clear"/>
            <w:tcMar>
              <w:top w:type="dxa" w:w="70"/>
              <w:left w:type="dxa" w:w="100"/>
              <w:bottom w:type="dxa" w:w="70"/>
              <w:right w:type="dxa" w:w="100"/>
            </w:tcMar>
            <w:vAlign w:val="top"/>
          </w:tcPr>
          <w:p>
            <w:pPr>
              <w:spacing w:after="0" w:before="0" w:line="252"/>
            </w:pPr>
            <w:r>
              <w:rPr>
                <w:sz w:val="17"/>
                <w:szCs w:val="17"/>
              </w:rPr>
              <w:t xml:space="preserve">Consequences the individual can overcome only with serious difficulty: financial loss requiring recovery action, damage to employment or credit, fraud, lasting reputational damage, discrimination in a decision, disclosure of special category data to a limited audience.</w:t>
            </w:r>
          </w:p>
        </w:tc>
      </w:tr>
      <w:tr>
        <w:trPr>
          <w:cantSplit/>
        </w:trPr>
        <w:tc>
          <w:tcPr>
            <w:tcW w:type="dxa" w:w="974"/>
            <w:shd w:fill="F2F4F6" w:color="auto" w:val="clear"/>
            <w:tcMar>
              <w:top w:type="dxa" w:w="70"/>
              <w:left w:type="dxa" w:w="100"/>
              <w:bottom w:type="dxa" w:w="70"/>
              <w:right w:type="dxa" w:w="100"/>
            </w:tcMar>
            <w:vAlign w:val="top"/>
          </w:tcPr>
          <w:p>
            <w:pPr>
              <w:spacing w:after="0" w:before="0" w:line="252"/>
            </w:pPr>
            <w:r>
              <w:rPr>
                <w:sz w:val="17"/>
                <w:szCs w:val="17"/>
              </w:rPr>
              <w:t xml:space="preserve">4</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Severe</w:t>
            </w:r>
          </w:p>
        </w:tc>
        <w:tc>
          <w:tcPr>
            <w:tcW w:type="dxa" w:w="7018"/>
            <w:shd w:fill="F2F4F6" w:color="auto" w:val="clear"/>
            <w:tcMar>
              <w:top w:type="dxa" w:w="70"/>
              <w:left w:type="dxa" w:w="100"/>
              <w:bottom w:type="dxa" w:w="70"/>
              <w:right w:type="dxa" w:w="100"/>
            </w:tcMar>
            <w:vAlign w:val="top"/>
          </w:tcPr>
          <w:p>
            <w:pPr>
              <w:spacing w:after="0" w:before="0" w:line="252"/>
            </w:pPr>
            <w:r>
              <w:rPr>
                <w:sz w:val="17"/>
                <w:szCs w:val="17"/>
              </w:rPr>
              <w:t xml:space="preserve">Consequences that are significant and may be irreversible: physical harm or danger, long-term financial hardship, loss of employment or housing, public disclosure of special category data, harm to a child or other vulnerable person, or any impact that cannot be undone.</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28" w:id="1"/>
      <w:r>
        <w:t xml:space="preserve">9.3  Scoring matrix</w:t>
      </w:r>
      <w:bookmarkEnd w:id="1"/>
    </w:p>
    <w:p>
      <w:pPr>
        <w:spacing w:after="130" w:line="262"/>
      </w:pPr>
      <w:r>
        <w:t xml:space="preserve">The rating is the product of likelihood and severity, read from the matrix below.</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339"/>
        <w:gridCol w:w="1851"/>
        <w:gridCol w:w="1851"/>
        <w:gridCol w:w="1851"/>
        <w:gridCol w:w="1854"/>
      </w:tblGrid>
      <w:tr>
        <w:trPr>
          <w:cantSplit/>
          <w:tblHeader/>
        </w:trPr>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Likelihood / Severity</w:t>
            </w:r>
          </w:p>
        </w:tc>
        <w:tc>
          <w:tcPr>
            <w:tcW w:type="dxa" w:w="18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1 Minimal</w:t>
            </w:r>
          </w:p>
        </w:tc>
        <w:tc>
          <w:tcPr>
            <w:tcW w:type="dxa" w:w="18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2 Significant</w:t>
            </w:r>
          </w:p>
        </w:tc>
        <w:tc>
          <w:tcPr>
            <w:tcW w:type="dxa" w:w="185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3 Serious</w:t>
            </w:r>
          </w:p>
        </w:tc>
        <w:tc>
          <w:tcPr>
            <w:tcW w:type="dxa" w:w="18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4 Severe</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4 Almost certain</w:t>
            </w:r>
          </w:p>
        </w:tc>
        <w:tc>
          <w:tcPr>
            <w:tcW w:type="dxa" w:w="1851"/>
            <w:shd w:fill="FFFFFF" w:color="auto" w:val="clear"/>
            <w:tcMar>
              <w:top w:type="dxa" w:w="70"/>
              <w:left w:type="dxa" w:w="100"/>
              <w:bottom w:type="dxa" w:w="70"/>
              <w:right w:type="dxa" w:w="100"/>
            </w:tcMar>
            <w:vAlign w:val="top"/>
          </w:tcPr>
          <w:p>
            <w:pPr>
              <w:spacing w:after="0" w:before="0" w:line="252"/>
            </w:pPr>
            <w:r>
              <w:rPr>
                <w:sz w:val="17"/>
                <w:szCs w:val="17"/>
              </w:rPr>
              <w:t xml:space="preserve">4 Medium</w:t>
            </w:r>
          </w:p>
        </w:tc>
        <w:tc>
          <w:tcPr>
            <w:tcW w:type="dxa" w:w="1851"/>
            <w:shd w:fill="FFFFFF" w:color="auto" w:val="clear"/>
            <w:tcMar>
              <w:top w:type="dxa" w:w="70"/>
              <w:left w:type="dxa" w:w="100"/>
              <w:bottom w:type="dxa" w:w="70"/>
              <w:right w:type="dxa" w:w="100"/>
            </w:tcMar>
            <w:vAlign w:val="top"/>
          </w:tcPr>
          <w:p>
            <w:pPr>
              <w:spacing w:after="0" w:before="0" w:line="252"/>
            </w:pPr>
            <w:r>
              <w:rPr>
                <w:sz w:val="17"/>
                <w:szCs w:val="17"/>
              </w:rPr>
              <w:t xml:space="preserve">8 High</w:t>
            </w:r>
          </w:p>
        </w:tc>
        <w:tc>
          <w:tcPr>
            <w:tcW w:type="dxa" w:w="1851"/>
            <w:shd w:fill="FFFFFF" w:color="auto" w:val="clear"/>
            <w:tcMar>
              <w:top w:type="dxa" w:w="70"/>
              <w:left w:type="dxa" w:w="100"/>
              <w:bottom w:type="dxa" w:w="70"/>
              <w:right w:type="dxa" w:w="100"/>
            </w:tcMar>
            <w:vAlign w:val="top"/>
          </w:tcPr>
          <w:p>
            <w:pPr>
              <w:spacing w:after="0" w:before="0" w:line="252"/>
            </w:pPr>
            <w:r>
              <w:rPr>
                <w:sz w:val="17"/>
                <w:szCs w:val="17"/>
              </w:rPr>
              <w:t xml:space="preserve">12 High</w:t>
            </w:r>
          </w:p>
        </w:tc>
        <w:tc>
          <w:tcPr>
            <w:tcW w:type="dxa" w:w="1854"/>
            <w:shd w:fill="FFFFFF" w:color="auto" w:val="clear"/>
            <w:tcMar>
              <w:top w:type="dxa" w:w="70"/>
              <w:left w:type="dxa" w:w="100"/>
              <w:bottom w:type="dxa" w:w="70"/>
              <w:right w:type="dxa" w:w="100"/>
            </w:tcMar>
            <w:vAlign w:val="top"/>
          </w:tcPr>
          <w:p>
            <w:pPr>
              <w:spacing w:after="0" w:before="0" w:line="252"/>
            </w:pPr>
            <w:r>
              <w:rPr>
                <w:sz w:val="17"/>
                <w:szCs w:val="17"/>
              </w:rPr>
              <w:t xml:space="preserve">16 High</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3 Likely</w:t>
            </w:r>
          </w:p>
        </w:tc>
        <w:tc>
          <w:tcPr>
            <w:tcW w:type="dxa" w:w="1851"/>
            <w:shd w:fill="F2F4F6" w:color="auto" w:val="clear"/>
            <w:tcMar>
              <w:top w:type="dxa" w:w="70"/>
              <w:left w:type="dxa" w:w="100"/>
              <w:bottom w:type="dxa" w:w="70"/>
              <w:right w:type="dxa" w:w="100"/>
            </w:tcMar>
            <w:vAlign w:val="top"/>
          </w:tcPr>
          <w:p>
            <w:pPr>
              <w:spacing w:after="0" w:before="0" w:line="252"/>
            </w:pPr>
            <w:r>
              <w:rPr>
                <w:sz w:val="17"/>
                <w:szCs w:val="17"/>
              </w:rPr>
              <w:t xml:space="preserve">3 Low</w:t>
            </w:r>
          </w:p>
        </w:tc>
        <w:tc>
          <w:tcPr>
            <w:tcW w:type="dxa" w:w="1851"/>
            <w:shd w:fill="F2F4F6" w:color="auto" w:val="clear"/>
            <w:tcMar>
              <w:top w:type="dxa" w:w="70"/>
              <w:left w:type="dxa" w:w="100"/>
              <w:bottom w:type="dxa" w:w="70"/>
              <w:right w:type="dxa" w:w="100"/>
            </w:tcMar>
            <w:vAlign w:val="top"/>
          </w:tcPr>
          <w:p>
            <w:pPr>
              <w:spacing w:after="0" w:before="0" w:line="252"/>
            </w:pPr>
            <w:r>
              <w:rPr>
                <w:sz w:val="17"/>
                <w:szCs w:val="17"/>
              </w:rPr>
              <w:t xml:space="preserve">6 Medium</w:t>
            </w:r>
          </w:p>
        </w:tc>
        <w:tc>
          <w:tcPr>
            <w:tcW w:type="dxa" w:w="1851"/>
            <w:shd w:fill="F2F4F6" w:color="auto" w:val="clear"/>
            <w:tcMar>
              <w:top w:type="dxa" w:w="70"/>
              <w:left w:type="dxa" w:w="100"/>
              <w:bottom w:type="dxa" w:w="70"/>
              <w:right w:type="dxa" w:w="100"/>
            </w:tcMar>
            <w:vAlign w:val="top"/>
          </w:tcPr>
          <w:p>
            <w:pPr>
              <w:spacing w:after="0" w:before="0" w:line="252"/>
            </w:pPr>
            <w:r>
              <w:rPr>
                <w:sz w:val="17"/>
                <w:szCs w:val="17"/>
              </w:rPr>
              <w:t xml:space="preserve">9 High</w:t>
            </w:r>
          </w:p>
        </w:tc>
        <w:tc>
          <w:tcPr>
            <w:tcW w:type="dxa" w:w="1854"/>
            <w:shd w:fill="F2F4F6" w:color="auto" w:val="clear"/>
            <w:tcMar>
              <w:top w:type="dxa" w:w="70"/>
              <w:left w:type="dxa" w:w="100"/>
              <w:bottom w:type="dxa" w:w="70"/>
              <w:right w:type="dxa" w:w="100"/>
            </w:tcMar>
            <w:vAlign w:val="top"/>
          </w:tcPr>
          <w:p>
            <w:pPr>
              <w:spacing w:after="0" w:before="0" w:line="252"/>
            </w:pPr>
            <w:r>
              <w:rPr>
                <w:sz w:val="17"/>
                <w:szCs w:val="17"/>
              </w:rPr>
              <w:t xml:space="preserve">12 High</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r>
              <w:rPr>
                <w:sz w:val="17"/>
                <w:szCs w:val="17"/>
              </w:rPr>
              <w:t xml:space="preserve">2 Possible</w:t>
            </w:r>
          </w:p>
        </w:tc>
        <w:tc>
          <w:tcPr>
            <w:tcW w:type="dxa" w:w="1851"/>
            <w:shd w:fill="FFFFFF" w:color="auto" w:val="clear"/>
            <w:tcMar>
              <w:top w:type="dxa" w:w="70"/>
              <w:left w:type="dxa" w:w="100"/>
              <w:bottom w:type="dxa" w:w="70"/>
              <w:right w:type="dxa" w:w="100"/>
            </w:tcMar>
            <w:vAlign w:val="top"/>
          </w:tcPr>
          <w:p>
            <w:pPr>
              <w:spacing w:after="0" w:before="0" w:line="252"/>
            </w:pPr>
            <w:r>
              <w:rPr>
                <w:sz w:val="17"/>
                <w:szCs w:val="17"/>
              </w:rPr>
              <w:t xml:space="preserve">2 Low</w:t>
            </w:r>
          </w:p>
        </w:tc>
        <w:tc>
          <w:tcPr>
            <w:tcW w:type="dxa" w:w="1851"/>
            <w:shd w:fill="FFFFFF" w:color="auto" w:val="clear"/>
            <w:tcMar>
              <w:top w:type="dxa" w:w="70"/>
              <w:left w:type="dxa" w:w="100"/>
              <w:bottom w:type="dxa" w:w="70"/>
              <w:right w:type="dxa" w:w="100"/>
            </w:tcMar>
            <w:vAlign w:val="top"/>
          </w:tcPr>
          <w:p>
            <w:pPr>
              <w:spacing w:after="0" w:before="0" w:line="252"/>
            </w:pPr>
            <w:r>
              <w:rPr>
                <w:sz w:val="17"/>
                <w:szCs w:val="17"/>
              </w:rPr>
              <w:t xml:space="preserve">4 Medium</w:t>
            </w:r>
          </w:p>
        </w:tc>
        <w:tc>
          <w:tcPr>
            <w:tcW w:type="dxa" w:w="1851"/>
            <w:shd w:fill="FFFFFF" w:color="auto" w:val="clear"/>
            <w:tcMar>
              <w:top w:type="dxa" w:w="70"/>
              <w:left w:type="dxa" w:w="100"/>
              <w:bottom w:type="dxa" w:w="70"/>
              <w:right w:type="dxa" w:w="100"/>
            </w:tcMar>
            <w:vAlign w:val="top"/>
          </w:tcPr>
          <w:p>
            <w:pPr>
              <w:spacing w:after="0" w:before="0" w:line="252"/>
            </w:pPr>
            <w:r>
              <w:rPr>
                <w:sz w:val="17"/>
                <w:szCs w:val="17"/>
              </w:rPr>
              <w:t xml:space="preserve">6 Medium</w:t>
            </w:r>
          </w:p>
        </w:tc>
        <w:tc>
          <w:tcPr>
            <w:tcW w:type="dxa" w:w="1854"/>
            <w:shd w:fill="FFFFFF" w:color="auto" w:val="clear"/>
            <w:tcMar>
              <w:top w:type="dxa" w:w="70"/>
              <w:left w:type="dxa" w:w="100"/>
              <w:bottom w:type="dxa" w:w="70"/>
              <w:right w:type="dxa" w:w="100"/>
            </w:tcMar>
            <w:vAlign w:val="top"/>
          </w:tcPr>
          <w:p>
            <w:pPr>
              <w:spacing w:after="0" w:before="0" w:line="252"/>
            </w:pPr>
            <w:r>
              <w:rPr>
                <w:sz w:val="17"/>
                <w:szCs w:val="17"/>
              </w:rPr>
              <w:t xml:space="preserve">8 High</w:t>
            </w:r>
          </w:p>
        </w:tc>
      </w:tr>
      <w:tr>
        <w:trPr>
          <w:cantSplit/>
        </w:trPr>
        <w:tc>
          <w:tcPr>
            <w:tcW w:type="dxa" w:w="2339"/>
            <w:shd w:fill="F2F4F6" w:color="auto" w:val="clear"/>
            <w:tcMar>
              <w:top w:type="dxa" w:w="70"/>
              <w:left w:type="dxa" w:w="100"/>
              <w:bottom w:type="dxa" w:w="70"/>
              <w:right w:type="dxa" w:w="100"/>
            </w:tcMar>
            <w:vAlign w:val="top"/>
          </w:tcPr>
          <w:p>
            <w:pPr>
              <w:spacing w:after="0" w:before="0" w:line="252"/>
            </w:pPr>
            <w:r>
              <w:rPr>
                <w:sz w:val="17"/>
                <w:szCs w:val="17"/>
              </w:rPr>
              <w:t xml:space="preserve">1 Remote</w:t>
            </w:r>
          </w:p>
        </w:tc>
        <w:tc>
          <w:tcPr>
            <w:tcW w:type="dxa" w:w="1851"/>
            <w:shd w:fill="F2F4F6" w:color="auto" w:val="clear"/>
            <w:tcMar>
              <w:top w:type="dxa" w:w="70"/>
              <w:left w:type="dxa" w:w="100"/>
              <w:bottom w:type="dxa" w:w="70"/>
              <w:right w:type="dxa" w:w="100"/>
            </w:tcMar>
            <w:vAlign w:val="top"/>
          </w:tcPr>
          <w:p>
            <w:pPr>
              <w:spacing w:after="0" w:before="0" w:line="252"/>
            </w:pPr>
            <w:r>
              <w:rPr>
                <w:sz w:val="17"/>
                <w:szCs w:val="17"/>
              </w:rPr>
              <w:t xml:space="preserve">1 Low</w:t>
            </w:r>
          </w:p>
        </w:tc>
        <w:tc>
          <w:tcPr>
            <w:tcW w:type="dxa" w:w="1851"/>
            <w:shd w:fill="F2F4F6" w:color="auto" w:val="clear"/>
            <w:tcMar>
              <w:top w:type="dxa" w:w="70"/>
              <w:left w:type="dxa" w:w="100"/>
              <w:bottom w:type="dxa" w:w="70"/>
              <w:right w:type="dxa" w:w="100"/>
            </w:tcMar>
            <w:vAlign w:val="top"/>
          </w:tcPr>
          <w:p>
            <w:pPr>
              <w:spacing w:after="0" w:before="0" w:line="252"/>
            </w:pPr>
            <w:r>
              <w:rPr>
                <w:sz w:val="17"/>
                <w:szCs w:val="17"/>
              </w:rPr>
              <w:t xml:space="preserve">2 Low</w:t>
            </w:r>
          </w:p>
        </w:tc>
        <w:tc>
          <w:tcPr>
            <w:tcW w:type="dxa" w:w="1851"/>
            <w:shd w:fill="F2F4F6" w:color="auto" w:val="clear"/>
            <w:tcMar>
              <w:top w:type="dxa" w:w="70"/>
              <w:left w:type="dxa" w:w="100"/>
              <w:bottom w:type="dxa" w:w="70"/>
              <w:right w:type="dxa" w:w="100"/>
            </w:tcMar>
            <w:vAlign w:val="top"/>
          </w:tcPr>
          <w:p>
            <w:pPr>
              <w:spacing w:after="0" w:before="0" w:line="252"/>
            </w:pPr>
            <w:r>
              <w:rPr>
                <w:sz w:val="17"/>
                <w:szCs w:val="17"/>
              </w:rPr>
              <w:t xml:space="preserve">3 Low</w:t>
            </w:r>
          </w:p>
        </w:tc>
        <w:tc>
          <w:tcPr>
            <w:tcW w:type="dxa" w:w="1854"/>
            <w:shd w:fill="F2F4F6" w:color="auto" w:val="clear"/>
            <w:tcMar>
              <w:top w:type="dxa" w:w="70"/>
              <w:left w:type="dxa" w:w="100"/>
              <w:bottom w:type="dxa" w:w="70"/>
              <w:right w:type="dxa" w:w="100"/>
            </w:tcMar>
            <w:vAlign w:val="top"/>
          </w:tcPr>
          <w:p>
            <w:pPr>
              <w:spacing w:after="0" w:before="0" w:line="252"/>
            </w:pPr>
            <w:r>
              <w:rPr>
                <w:sz w:val="17"/>
                <w:szCs w:val="17"/>
              </w:rPr>
              <w:t xml:space="preserve">4 Medium</w:t>
            </w:r>
          </w:p>
        </w:tc>
      </w:tr>
    </w:tbl>
    <w:p>
      <w:pPr>
        <w:spacing w:after="120" w:line="120"/>
      </w:pPr>
      <w:r>
        <w:rPr>
          <w:sz w:val="4"/>
          <w:szCs w:val="4"/>
        </w:rPr>
        <w:t xml:space="preserve"/>
      </w:r>
    </w:p>
    <w:p>
      <w:pPr>
        <w:keepNext/>
        <w:keepLines/>
        <w:pBdr>
          <w:top w:val="single" w:color="D4DAE0" w:sz="4" w:space="9"/>
        </w:pBdr>
        <w:spacing w:after="46" w:before="110"/>
      </w:pPr>
      <w:r>
        <w:rPr>
          <w:b/>
          <w:bCs/>
          <w:color w:val="2E5C7A"/>
          <w:sz w:val="21"/>
          <w:szCs w:val="21"/>
        </w:rPr>
        <w:t xml:space="preserve">Low (1 to 3)</w:t>
      </w:r>
    </w:p>
    <w:p>
      <w:pPr>
        <w:spacing w:after="62" w:line="262"/>
        <w:ind w:left="172"/>
      </w:pPr>
      <w:r>
        <w:t xml:space="preserve">Acceptable with the controls recorded. Accepted by the project owner.</w:t>
      </w:r>
    </w:p>
    <w:p>
      <w:pPr>
        <w:keepNext/>
        <w:keepLines/>
        <w:pBdr>
          <w:top w:val="single" w:color="D4DAE0" w:sz="4" w:space="9"/>
        </w:pBdr>
        <w:spacing w:after="46" w:before="170"/>
      </w:pPr>
      <w:r>
        <w:rPr>
          <w:b/>
          <w:bCs/>
          <w:color w:val="2E5C7A"/>
          <w:sz w:val="21"/>
          <w:szCs w:val="21"/>
        </w:rPr>
        <w:t xml:space="preserve">Medium (4 to 6)</w:t>
      </w:r>
    </w:p>
    <w:p>
      <w:pPr>
        <w:spacing w:after="62" w:line="262"/>
        <w:ind w:left="172"/>
      </w:pPr>
      <w:r>
        <w:t xml:space="preserve">Further controls are considered and each one rejected is recorded with its reason. Accepted by the senior accountable owner after the DPO or privacy lead has given advice.</w:t>
      </w:r>
    </w:p>
    <w:p>
      <w:pPr>
        <w:keepNext/>
        <w:keepLines/>
        <w:pBdr>
          <w:top w:val="single" w:color="D4DAE0" w:sz="4" w:space="9"/>
        </w:pBdr>
        <w:spacing w:after="46" w:before="170"/>
      </w:pPr>
      <w:r>
        <w:rPr>
          <w:b/>
          <w:bCs/>
          <w:color w:val="2E5C7A"/>
          <w:sz w:val="21"/>
          <w:szCs w:val="21"/>
        </w:rPr>
        <w:t xml:space="preserve">High (8 to 16)</w:t>
      </w:r>
    </w:p>
    <w:p>
      <w:pPr>
        <w:spacing w:after="62" w:line="262"/>
        <w:ind w:left="172"/>
      </w:pPr>
      <w:r>
        <w:t xml:space="preserve">Not acceptable without further controls. Where controls cannot bring the residual rating below High, the processing does not start until the senior accountable owner has made the decision in Section 12.</w:t>
      </w:r>
    </w:p>
    <w:tbl>
      <w:tblPr>
        <w:tblW w:type="dxa" w:w="9746"/>
        <w:tblBorders>
          <w:top w:val="single" w:color="D4DAE0" w:sz="4"/>
          <w:left w:val="single" w:color="C2551D" w:sz="24"/>
          <w:bottom w:val="single" w:color="D4DAE0" w:sz="4"/>
          <w:right w:val="single" w:color="D4DAE0" w:sz="4"/>
          <w:insideH w:val="none" w:color="auto" w:sz="0"/>
          <w:insideV w:val="none" w:color="auto" w:sz="0"/>
        </w:tblBorders>
      </w:tblPr>
      <w:tblGrid>
        <w:gridCol w:w="9746"/>
      </w:tblGrid>
      <w:tr>
        <w:trPr>
          <w:cantSplit/>
        </w:trPr>
        <w:tc>
          <w:tcPr>
            <w:tcW w:type="dxa" w:w="9746"/>
            <w:shd w:fill="FBF6F2" w:color="auto" w:val="clear"/>
            <w:tcMar>
              <w:top w:type="dxa" w:w="120"/>
              <w:left w:type="dxa" w:w="200"/>
              <w:bottom w:type="dxa" w:w="120"/>
              <w:right w:type="dxa" w:w="200"/>
            </w:tcMar>
          </w:tcPr>
          <w:p>
            <w:pPr>
              <w:keepNext/>
              <w:spacing w:after="60"/>
            </w:pPr>
            <w:r>
              <w:rPr>
                <w:b/>
                <w:bCs/>
                <w:color w:val="C2551D"/>
                <w:sz w:val="16"/>
                <w:szCs w:val="16"/>
              </w:rPr>
              <w:t xml:space="preserve">A RULE THAT OVERRIDES THE ARITHMETIC</w:t>
            </w:r>
          </w:p>
          <w:p>
            <w:pPr>
              <w:spacing w:after="0" w:line="262"/>
            </w:pPr>
            <w:r>
              <w:t xml:space="preserve">Any risk with a severity of 4 is treated as High at the inherent stage, whatever its likelihood, and its residual rating may be reduced below High only by a control that reduces the severity itself, such as not collecting the data, or by evidence that the likelihood is genuinely Remote. A significant possibility of very serious harm is a high risk even where it is unlikely.</w:t>
            </w:r>
          </w:p>
        </w:tc>
      </w:tr>
    </w:tbl>
    <w:p>
      <w:pPr>
        <w:spacing w:after="120" w:line="120"/>
      </w:pPr>
      <w:r>
        <w:rPr>
          <w:sz w:val="4"/>
          <w:szCs w:val="4"/>
        </w:rPr>
        <w:t xml:space="preserve"/>
      </w:r>
    </w:p>
    <w:p>
      <w:pPr>
        <w:spacing w:after="60" w:line="120"/>
      </w:pPr>
      <w:r>
        <w:rPr>
          <w:sz w:val="4"/>
          <w:szCs w:val="4"/>
        </w:rPr>
        <w:t xml:space="preserve"/>
      </w:r>
    </w:p>
    <w:p>
      <w:pPr>
        <w:pStyle w:val="Heading2"/>
        <w:keepNext/>
        <w:keepLines/>
        <w:spacing w:after="90" w:before="220"/>
      </w:pPr>
      <w:bookmarkStart w:name="_RG0029" w:id="1"/>
      <w:r>
        <w:t xml:space="preserve">9.4  Inherent rating</w:t>
      </w:r>
      <w:bookmarkEnd w:id="1"/>
    </w:p>
    <w:p>
      <w:pPr>
        <w:spacing w:after="130" w:line="262"/>
      </w:pPr>
      <w:r>
        <w:t xml:space="preserve">The inherent rating assumes only the baseline controls that apply to every system in the organization and that are evidenced as operating, such as the standard identity provider with multi-factor authentication. It does not assume controls proposed for this processing. Recording what baseline was assumed allows a later reviewer to see whether the baseline has since changed.</w:t>
      </w:r>
    </w:p>
    <w:p>
      <w:pPr>
        <w:spacing w:after="60" w:line="120"/>
      </w:pPr>
      <w:r>
        <w:rPr>
          <w:sz w:val="4"/>
          <w:szCs w:val="4"/>
        </w:rPr>
        <w:t xml:space="preserve"/>
      </w:r>
    </w:p>
    <w:p>
      <w:pPr>
        <w:pStyle w:val="Heading1"/>
        <w:keepNext/>
        <w:keepLines/>
        <w:pBdr>
          <w:bottom w:val="single" w:color="D4DAE0" w:sz="4" w:space="4"/>
        </w:pBdr>
        <w:spacing w:after="140" w:before="300"/>
      </w:pPr>
      <w:bookmarkStart w:name="_RG0030" w:id="1"/>
      <w:r>
        <w:t xml:space="preserve">10.  Controls and residual risk</w:t>
      </w:r>
      <w:bookmarkEnd w:id="1"/>
    </w:p>
    <w:p>
      <w:pPr>
        <w:spacing w:after="130" w:line="262"/>
      </w:pPr>
      <w:r>
        <w:t xml:space="preserve">For each risk, Appendix E records the controls that reduce it and the rating that remains. Controls are mapped to risks one by one; a list of controls that is not linked to specific risks does not show which risk is reduced by what.</w:t>
      </w:r>
    </w:p>
    <w:p>
      <w:pPr>
        <w:spacing w:after="60" w:line="120"/>
      </w:pPr>
      <w:r>
        <w:rPr>
          <w:sz w:val="4"/>
          <w:szCs w:val="4"/>
        </w:rPr>
        <w:t xml:space="preserve"/>
      </w:r>
    </w:p>
    <w:p>
      <w:pPr>
        <w:pStyle w:val="Heading2"/>
        <w:keepNext/>
        <w:keepLines/>
        <w:spacing w:after="90" w:before="220"/>
      </w:pPr>
      <w:bookmarkStart w:name="_RG0031" w:id="1"/>
      <w:r>
        <w:t xml:space="preserve">10.1  Types of control</w:t>
      </w:r>
      <w:bookmarkEnd w:id="1"/>
    </w:p>
    <w:p>
      <w:pPr>
        <w:keepNext/>
        <w:keepLines/>
        <w:pBdr>
          <w:top w:val="single" w:color="D4DAE0" w:sz="4" w:space="9"/>
        </w:pBdr>
        <w:spacing w:after="46" w:before="110"/>
      </w:pPr>
      <w:r>
        <w:rPr>
          <w:b/>
          <w:bCs/>
          <w:color w:val="2E5C7A"/>
          <w:sz w:val="21"/>
          <w:szCs w:val="21"/>
        </w:rPr>
        <w:t xml:space="preserve">Avoid</w:t>
      </w:r>
    </w:p>
    <w:p>
      <w:pPr>
        <w:spacing w:after="62" w:line="262"/>
        <w:ind w:left="172"/>
      </w:pPr>
      <w:r>
        <w:t xml:space="preserve">Remove the source: do not collect the data, do not carry out the step, choose a design that does not need it. Usually the only way to reduce severity.</w:t>
      </w:r>
    </w:p>
    <w:p>
      <w:pPr>
        <w:keepNext/>
        <w:keepLines/>
        <w:pBdr>
          <w:top w:val="single" w:color="D4DAE0" w:sz="4" w:space="9"/>
        </w:pBdr>
        <w:spacing w:after="46" w:before="170"/>
      </w:pPr>
      <w:r>
        <w:rPr>
          <w:b/>
          <w:bCs/>
          <w:color w:val="2E5C7A"/>
          <w:sz w:val="21"/>
          <w:szCs w:val="21"/>
        </w:rPr>
        <w:t xml:space="preserve">Reduce exposure</w:t>
      </w:r>
    </w:p>
    <w:p>
      <w:pPr>
        <w:spacing w:after="62" w:line="262"/>
        <w:ind w:left="172"/>
      </w:pPr>
      <w:r>
        <w:t xml:space="preserve">Minimize, pseudonymize, aggregate, shorten retention, restrict the population of users with access, restrict location.</w:t>
      </w:r>
    </w:p>
    <w:p>
      <w:pPr>
        <w:keepNext/>
        <w:keepLines/>
        <w:pBdr>
          <w:top w:val="single" w:color="D4DAE0" w:sz="4" w:space="9"/>
        </w:pBdr>
        <w:spacing w:after="46" w:before="170"/>
      </w:pPr>
      <w:r>
        <w:rPr>
          <w:b/>
          <w:bCs/>
          <w:color w:val="2E5C7A"/>
          <w:sz w:val="21"/>
          <w:szCs w:val="21"/>
        </w:rPr>
        <w:t xml:space="preserve">Prevent</w:t>
      </w:r>
    </w:p>
    <w:p>
      <w:pPr>
        <w:spacing w:after="62" w:line="262"/>
        <w:ind w:left="172"/>
      </w:pPr>
      <w:r>
        <w:t xml:space="preserve">Technical and organizational security measures: access control, encryption, logging, segregation, secure configuration, contractual and supplier controls, training requirements.</w:t>
      </w:r>
    </w:p>
    <w:p>
      <w:pPr>
        <w:keepNext/>
        <w:keepLines/>
        <w:pBdr>
          <w:top w:val="single" w:color="D4DAE0" w:sz="4" w:space="9"/>
        </w:pBdr>
        <w:spacing w:after="46" w:before="170"/>
      </w:pPr>
      <w:r>
        <w:rPr>
          <w:b/>
          <w:bCs/>
          <w:color w:val="2E5C7A"/>
          <w:sz w:val="21"/>
          <w:szCs w:val="21"/>
        </w:rPr>
        <w:t xml:space="preserve">Detect and respond</w:t>
      </w:r>
    </w:p>
    <w:p>
      <w:pPr>
        <w:spacing w:after="62" w:line="262"/>
        <w:ind w:left="172"/>
      </w:pPr>
      <w:r>
        <w:t xml:space="preserve">Monitoring, alerting, reconciliation and the incident response arrangements that limit harm once an event occurs.</w:t>
      </w:r>
    </w:p>
    <w:p>
      <w:pPr>
        <w:keepNext/>
        <w:keepLines/>
        <w:pBdr>
          <w:top w:val="single" w:color="D4DAE0" w:sz="4" w:space="9"/>
        </w:pBdr>
        <w:spacing w:after="46" w:before="170"/>
      </w:pPr>
      <w:r>
        <w:rPr>
          <w:b/>
          <w:bCs/>
          <w:color w:val="2E5C7A"/>
          <w:sz w:val="21"/>
          <w:szCs w:val="21"/>
        </w:rPr>
        <w:t xml:space="preserve">Give the individual control</w:t>
      </w:r>
    </w:p>
    <w:p>
      <w:pPr>
        <w:spacing w:after="62" w:line="262"/>
        <w:ind w:left="172"/>
      </w:pPr>
      <w:r>
        <w:t xml:space="preserve">Notices, choices, opt-outs, human review of automated decisions, an accessible route to correct or delete data.</w:t>
      </w:r>
    </w:p>
    <w:p>
      <w:pPr>
        <w:spacing w:after="60" w:line="120"/>
      </w:pPr>
      <w:r>
        <w:rPr>
          <w:sz w:val="4"/>
          <w:szCs w:val="4"/>
        </w:rPr>
        <w:t xml:space="preserve"/>
      </w:r>
    </w:p>
    <w:p>
      <w:pPr>
        <w:pStyle w:val="Heading2"/>
        <w:keepNext/>
        <w:keepLines/>
        <w:spacing w:after="90" w:before="220"/>
      </w:pPr>
      <w:bookmarkStart w:name="_RG0032" w:id="1"/>
      <w:r>
        <w:t xml:space="preserve">10.2  Recording controls</w:t>
      </w:r>
      <w:bookmarkEnd w:id="1"/>
    </w:p>
    <w:p>
      <w:pPr>
        <w:spacing w:after="130" w:line="262"/>
      </w:pPr>
      <w:r>
        <w:t xml:space="preserve">Each control recorded against a risk states its status: In place, meaning operating and evidenced; Committed, meaning not yet operating but owned by a named person with a completion date before processing begins; or Proposed, meaning neither. Only In place and Committed controls are counted in the residual rating. Every Committed control appears in the action plan in Appendix F.</w:t>
      </w:r>
    </w:p>
    <w:p>
      <w:pPr>
        <w:spacing w:after="130" w:line="262"/>
      </w:pPr>
      <w:r>
        <w:t xml:space="preserve">For each In place control, the evidence reference is recorded: the configuration export, the contract clause, the log extract or the test record that shows it operates. A control described in a policy but not evidenced in the system is recorded as Proposed.</w:t>
      </w:r>
    </w:p>
    <w:p>
      <w:pPr>
        <w:spacing w:after="60" w:line="120"/>
      </w:pPr>
      <w:r>
        <w:rPr>
          <w:sz w:val="4"/>
          <w:szCs w:val="4"/>
        </w:rPr>
        <w:t xml:space="preserve"/>
      </w:r>
    </w:p>
    <w:p>
      <w:pPr>
        <w:pStyle w:val="Heading2"/>
        <w:keepNext/>
        <w:keepLines/>
        <w:spacing w:after="90" w:before="220"/>
      </w:pPr>
      <w:bookmarkStart w:name="_RG0033" w:id="1"/>
      <w:r>
        <w:t xml:space="preserve">10.3  Rating residual risk</w:t>
      </w:r>
      <w:bookmarkEnd w:id="1"/>
    </w:p>
    <w:p>
      <w:pPr>
        <w:spacing w:after="130" w:line="262"/>
      </w:pPr>
      <w:r>
        <w:t xml:space="preserve">The residual likelihood and severity are rated on the same scales as the inherent rating, with a sentence explaining what changed. A residual rating lower than the inherent rating with no control explaining the change is returned to the project owner. A control that reduces likelihood does not reduce severity, and the reverse; the assessment states which element each control affects.</w:t>
      </w:r>
    </w:p>
    <w:p>
      <w:pPr>
        <w:spacing w:after="60" w:line="120"/>
      </w:pPr>
      <w:r>
        <w:rPr>
          <w:sz w:val="4"/>
          <w:szCs w:val="4"/>
        </w:rPr>
        <w:t xml:space="preserve"/>
      </w:r>
    </w:p>
    <w:p>
      <w:pPr>
        <w:pStyle w:val="Heading1"/>
        <w:keepNext/>
        <w:keepLines/>
        <w:pBdr>
          <w:bottom w:val="single" w:color="D4DAE0" w:sz="4" w:space="4"/>
        </w:pBdr>
        <w:spacing w:after="140" w:before="300"/>
      </w:pPr>
      <w:bookmarkStart w:name="_RG0034" w:id="1"/>
      <w:r>
        <w:t xml:space="preserve">11.  Sign-off and acceptance of residual risk</w:t>
      </w:r>
      <w:bookmarkEnd w:id="1"/>
    </w:p>
    <w:p>
      <w:pPr>
        <w:spacing w:after="130" w:line="262"/>
      </w:pPr>
      <w:r>
        <w:t xml:space="preserve">Sign-off is the point at which the organization decides whether the processing proceeds, and on what terms. It is recorded in Appendix G.</w:t>
      </w:r>
    </w:p>
    <w:p>
      <w:pPr>
        <w:spacing w:after="60" w:line="120"/>
      </w:pPr>
      <w:r>
        <w:rPr>
          <w:sz w:val="4"/>
          <w:szCs w:val="4"/>
        </w:rPr>
        <w:t xml:space="preserve"/>
      </w:r>
    </w:p>
    <w:p>
      <w:pPr>
        <w:pStyle w:val="Heading2"/>
        <w:keepNext/>
        <w:keepLines/>
        <w:spacing w:after="90" w:before="220"/>
      </w:pPr>
      <w:bookmarkStart w:name="_RG0035" w:id="1"/>
      <w:r>
        <w:t xml:space="preserve">11.1  Acceptance authority</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3898"/>
        <w:gridCol w:w="3704"/>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Highest residual rating</w:t>
            </w:r>
          </w:p>
        </w:tc>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Who accepts</w:t>
            </w:r>
          </w:p>
        </w:tc>
        <w:tc>
          <w:tcPr>
            <w:tcW w:type="dxa" w:w="370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Pre-conditions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Low</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DPO or privacy lead has reviewed the assessment</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Medium</w:t>
            </w:r>
          </w:p>
        </w:tc>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Senior accountable owner</w:t>
            </w:r>
          </w:p>
        </w:tc>
        <w:tc>
          <w:tcPr>
            <w:tcW w:type="dxa" w:w="3704"/>
            <w:shd w:fill="F2F4F6" w:color="auto" w:val="clear"/>
            <w:tcMar>
              <w:top w:type="dxa" w:w="70"/>
              <w:left w:type="dxa" w:w="100"/>
              <w:bottom w:type="dxa" w:w="70"/>
              <w:right w:type="dxa" w:w="100"/>
            </w:tcMar>
            <w:vAlign w:val="top"/>
          </w:tcPr>
          <w:p>
            <w:pPr>
              <w:spacing w:after="0" w:before="0" w:line="252"/>
            </w:pPr>
            <w:r>
              <w:rPr>
                <w:sz w:val="17"/>
                <w:szCs w:val="17"/>
              </w:rPr>
              <w:t xml:space="preserve">DPO or privacy lead advice recorded; rejected further controls recorded with reasons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High</w:t>
            </w:r>
          </w:p>
        </w:tc>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Senior accountable owner, with the decision reported to the executive leadership team or board at its next meeting</w:t>
            </w:r>
          </w:p>
        </w:tc>
        <w:tc>
          <w:tcPr>
            <w:tcW w:type="dxa" w:w="3704"/>
            <w:shd w:fill="FFFFFF" w:color="auto" w:val="clear"/>
            <w:tcMar>
              <w:top w:type="dxa" w:w="70"/>
              <w:left w:type="dxa" w:w="100"/>
              <w:bottom w:type="dxa" w:w="70"/>
              <w:right w:type="dxa" w:w="100"/>
            </w:tcMar>
            <w:vAlign w:val="top"/>
          </w:tcPr>
          <w:p>
            <w:pPr>
              <w:spacing w:after="0" w:before="0" w:line="252"/>
            </w:pPr>
            <w:r>
              <w:rPr>
                <w:sz w:val="17"/>
                <w:szCs w:val="17"/>
              </w:rPr>
              <w:t xml:space="preserve">DPO or privacy lead advice recorded; prior consultation decision made under Section 12</w:t>
            </w:r>
          </w:p>
        </w:tc>
      </w:tr>
    </w:tbl>
    <w:p>
      <w:pPr>
        <w:spacing w:after="120" w:line="120"/>
      </w:pPr>
      <w:r>
        <w:rPr>
          <w:sz w:val="4"/>
          <w:szCs w:val="4"/>
        </w:rPr>
        <w:t xml:space="preserve"/>
      </w:r>
    </w:p>
    <w:p>
      <w:pPr>
        <w:spacing w:after="130" w:line="262"/>
      </w:pPr>
      <w:r>
        <w:t xml:space="preserve">Each residual risk is accepted individually, by risk ID, with the accepting person's name, role and date. A single signature beneath the whole register is not acceptance of each risk. Acceptance is personal to the role holder; if that person leaves the role, the acceptance stands until the next review, at which the new role holder either re-accepts it or requires further controls.</w:t>
      </w:r>
    </w:p>
    <w:p>
      <w:pPr>
        <w:spacing w:after="60" w:line="120"/>
      </w:pPr>
      <w:r>
        <w:rPr>
          <w:sz w:val="4"/>
          <w:szCs w:val="4"/>
        </w:rPr>
        <w:t xml:space="preserve"/>
      </w:r>
    </w:p>
    <w:p>
      <w:pPr>
        <w:pStyle w:val="Heading2"/>
        <w:keepNext/>
        <w:keepLines/>
        <w:spacing w:after="90" w:before="220"/>
      </w:pPr>
      <w:bookmarkStart w:name="_RG0036" w:id="1"/>
      <w:r>
        <w:t xml:space="preserve">11.2  The outcome</w:t>
      </w:r>
      <w:bookmarkEnd w:id="1"/>
    </w:p>
    <w:p>
      <w:pPr>
        <w:spacing w:after="130" w:line="262"/>
      </w:pPr>
      <w:r>
        <w:t xml:space="preserve">The sign-off records one of four outcomes:</w:t>
      </w:r>
    </w:p>
    <w:p>
      <w:pPr>
        <w:keepNext/>
        <w:keepLines/>
        <w:pBdr>
          <w:top w:val="single" w:color="D4DAE0" w:sz="4" w:space="9"/>
        </w:pBdr>
        <w:spacing w:after="46" w:before="110"/>
      </w:pPr>
      <w:r>
        <w:rPr>
          <w:b/>
          <w:bCs/>
          <w:color w:val="2E5C7A"/>
          <w:sz w:val="21"/>
          <w:szCs w:val="21"/>
        </w:rPr>
        <w:t xml:space="preserve">Proceed</w:t>
      </w:r>
    </w:p>
    <w:p>
      <w:pPr>
        <w:spacing w:after="62" w:line="262"/>
        <w:ind w:left="172"/>
      </w:pPr>
      <w:r>
        <w:t xml:space="preserve">All residual risks accepted at the correct level; no outstanding actions are a condition of starting.</w:t>
      </w:r>
    </w:p>
    <w:p>
      <w:pPr>
        <w:keepNext/>
        <w:keepLines/>
        <w:pBdr>
          <w:top w:val="single" w:color="D4DAE0" w:sz="4" w:space="9"/>
        </w:pBdr>
        <w:spacing w:after="46" w:before="170"/>
      </w:pPr>
      <w:r>
        <w:rPr>
          <w:b/>
          <w:bCs/>
          <w:color w:val="2E5C7A"/>
          <w:sz w:val="21"/>
          <w:szCs w:val="21"/>
        </w:rPr>
        <w:t xml:space="preserve">Proceed with conditions</w:t>
      </w:r>
    </w:p>
    <w:p>
      <w:pPr>
        <w:spacing w:after="62" w:line="262"/>
        <w:ind w:left="172"/>
      </w:pPr>
      <w:r>
        <w:t xml:space="preserve">Processing may start once the Committed controls listed as conditions in Appendix F are evidenced as In place. The project owner confirms each condition in Appendix G before go-live.</w:t>
      </w:r>
    </w:p>
    <w:p>
      <w:pPr>
        <w:keepNext/>
        <w:keepLines/>
        <w:pBdr>
          <w:top w:val="single" w:color="D4DAE0" w:sz="4" w:space="9"/>
        </w:pBdr>
        <w:spacing w:after="46" w:before="170"/>
      </w:pPr>
      <w:r>
        <w:rPr>
          <w:b/>
          <w:bCs/>
          <w:color w:val="2E5C7A"/>
          <w:sz w:val="21"/>
          <w:szCs w:val="21"/>
        </w:rPr>
        <w:t xml:space="preserve">Do not proceed pending consultation</w:t>
      </w:r>
    </w:p>
    <w:p>
      <w:pPr>
        <w:spacing w:after="62" w:line="262"/>
        <w:ind w:left="172"/>
      </w:pPr>
      <w:r>
        <w:t xml:space="preserve">A high residual risk remains and the senior accountable owner has decided to consult the supervisory authority or regulator. Processing does not start until the consultation concludes.</w:t>
      </w:r>
    </w:p>
    <w:p>
      <w:pPr>
        <w:keepNext/>
        <w:keepLines/>
        <w:pBdr>
          <w:top w:val="single" w:color="D4DAE0" w:sz="4" w:space="9"/>
        </w:pBdr>
        <w:spacing w:after="46" w:before="170"/>
      </w:pPr>
      <w:r>
        <w:rPr>
          <w:b/>
          <w:bCs/>
          <w:color w:val="2E5C7A"/>
          <w:sz w:val="21"/>
          <w:szCs w:val="21"/>
        </w:rPr>
        <w:t xml:space="preserve">Do not proceed</w:t>
      </w:r>
    </w:p>
    <w:p>
      <w:pPr>
        <w:spacing w:after="62" w:line="262"/>
        <w:ind w:left="172"/>
      </w:pPr>
      <w:r>
        <w:t xml:space="preserve">The processing, as designed, is not acceptable. The decision and reasons are recorded and the project is redesigned or stopped.</w:t>
      </w:r>
    </w:p>
    <w:p>
      <w:pPr>
        <w:spacing w:after="60" w:line="120"/>
      </w:pPr>
      <w:r>
        <w:rPr>
          <w:sz w:val="4"/>
          <w:szCs w:val="4"/>
        </w:rPr>
        <w:t xml:space="preserve"/>
      </w:r>
    </w:p>
    <w:p>
      <w:pPr>
        <w:pStyle w:val="Heading1"/>
        <w:keepNext/>
        <w:keepLines/>
        <w:pBdr>
          <w:bottom w:val="single" w:color="D4DAE0" w:sz="4" w:space="4"/>
        </w:pBdr>
        <w:spacing w:after="140" w:before="300"/>
      </w:pPr>
      <w:bookmarkStart w:name="_RG0037" w:id="1"/>
      <w:r>
        <w:t xml:space="preserve">12.  Prior consultation decision</w:t>
      </w:r>
      <w:bookmarkEnd w:id="1"/>
    </w:p>
    <w:p>
      <w:pPr>
        <w:spacing w:after="130" w:line="262"/>
      </w:pPr>
      <w:r>
        <w:t xml:space="preserve">Some data protection laws require the controller to consult the supervisory authority before processing where the assessment shows that a high risk would remain without mitigating measures. Under the EU and UK GDPR, the controller consults the supervisory authority before processing in that case, and the authority may take up to eight weeks from receipt of the request to give written advice, extendable by six weeks. Other laws do not have a prior consultation duty but require the assessment to be made available to a regulator on request; the Colorado Privacy Act requires it to be made available to the Attorney General on request.</w:t>
      </w:r>
    </w:p>
    <w:p>
      <w:pPr>
        <w:spacing w:after="60" w:line="120"/>
      </w:pPr>
      <w:r>
        <w:rPr>
          <w:sz w:val="4"/>
          <w:szCs w:val="4"/>
        </w:rPr>
        <w:t xml:space="preserve"/>
      </w:r>
    </w:p>
    <w:p>
      <w:pPr>
        <w:pStyle w:val="Heading2"/>
        <w:keepNext/>
        <w:keepLines/>
        <w:spacing w:after="90" w:before="220"/>
      </w:pPr>
      <w:bookmarkStart w:name="_RG0038" w:id="1"/>
      <w:r>
        <w:t xml:space="preserve">12.1  Decision process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584"/>
        <w:gridCol w:w="4873"/>
        <w:gridCol w:w="1754"/>
        <w:gridCol w:w="2535"/>
      </w:tblGrid>
      <w:tr>
        <w:trPr>
          <w:cantSplit/>
          <w:tblHeader/>
        </w:trPr>
        <w:tc>
          <w:tcPr>
            <w:tcW w:type="dxa" w:w="58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Step</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253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Evidence produced</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1</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Identify every risk whose residual rating is High after all In place and Committed controls</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Filtered extract of Appendix E</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2</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Confirm whether any applicable data protection law imposes a prior consultation duty for the processing</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DPO or privacy lead with legal counsel</w:t>
            </w:r>
          </w:p>
        </w:tc>
        <w:tc>
          <w:tcPr>
            <w:tcW w:type="dxa" w:w="2535"/>
            <w:shd w:fill="F2F4F6" w:color="auto" w:val="clear"/>
            <w:tcMar>
              <w:top w:type="dxa" w:w="70"/>
              <w:left w:type="dxa" w:w="100"/>
              <w:bottom w:type="dxa" w:w="70"/>
              <w:right w:type="dxa" w:w="100"/>
            </w:tcMar>
            <w:vAlign w:val="top"/>
          </w:tcPr>
          <w:p>
            <w:pPr>
              <w:spacing w:after="0" w:before="0" w:line="252"/>
            </w:pPr>
            <w:r>
              <w:rPr>
                <w:sz w:val="17"/>
                <w:szCs w:val="17"/>
              </w:rPr>
              <w:t xml:space="preserve">Written advice</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3</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Consider whether any further control could reduce the risk below High, and record why any not adopted were rejected</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Project owner with information security</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Appendix E notes</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4</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Decide: redesign, do not proceed, or consult the authority</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Senior accountable owner</w:t>
            </w:r>
          </w:p>
        </w:tc>
        <w:tc>
          <w:tcPr>
            <w:tcW w:type="dxa" w:w="2535"/>
            <w:shd w:fill="F2F4F6" w:color="auto" w:val="clear"/>
            <w:tcMar>
              <w:top w:type="dxa" w:w="70"/>
              <w:left w:type="dxa" w:w="100"/>
              <w:bottom w:type="dxa" w:w="70"/>
              <w:right w:type="dxa" w:w="100"/>
            </w:tcMar>
            <w:vAlign w:val="top"/>
          </w:tcPr>
          <w:p>
            <w:pPr>
              <w:spacing w:after="0" w:before="0" w:line="252"/>
            </w:pPr>
            <w:r>
              <w:rPr>
                <w:sz w:val="17"/>
                <w:szCs w:val="17"/>
              </w:rPr>
              <w:t xml:space="preserve">Signed decision in Appendix G</w:t>
            </w:r>
          </w:p>
        </w:tc>
      </w:tr>
      <w:tr>
        <w:trPr>
          <w:cantSplit/>
        </w:trPr>
        <w:tc>
          <w:tcPr>
            <w:tcW w:type="dxa" w:w="584"/>
            <w:shd w:fill="FFFFFF" w:color="auto" w:val="clear"/>
            <w:tcMar>
              <w:top w:type="dxa" w:w="70"/>
              <w:left w:type="dxa" w:w="100"/>
              <w:bottom w:type="dxa" w:w="70"/>
              <w:right w:type="dxa" w:w="100"/>
            </w:tcMar>
            <w:vAlign w:val="top"/>
          </w:tcPr>
          <w:p>
            <w:pPr>
              <w:spacing w:after="0" w:before="0" w:line="252"/>
            </w:pPr>
            <w:r>
              <w:rPr>
                <w:b/>
                <w:bCs/>
                <w:sz w:val="17"/>
                <w:szCs w:val="17"/>
              </w:rPr>
              <w:t xml:space="preserve">5</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Where consulting, submit the information the authority requires, which under the GDPR includes the respective responsibilities of controller, joint controllers and processors, the purposes and means, the measures and safeguards, the DPO contact details where applicable, and the assessment itself</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DPO or privacy lead</w:t>
            </w:r>
          </w:p>
        </w:tc>
        <w:tc>
          <w:tcPr>
            <w:tcW w:type="dxa" w:w="2535"/>
            <w:shd w:fill="FFFFFF" w:color="auto" w:val="clear"/>
            <w:tcMar>
              <w:top w:type="dxa" w:w="70"/>
              <w:left w:type="dxa" w:w="100"/>
              <w:bottom w:type="dxa" w:w="70"/>
              <w:right w:type="dxa" w:w="100"/>
            </w:tcMar>
            <w:vAlign w:val="top"/>
          </w:tcPr>
          <w:p>
            <w:pPr>
              <w:spacing w:after="0" w:before="0" w:line="252"/>
            </w:pPr>
            <w:r>
              <w:rPr>
                <w:sz w:val="17"/>
                <w:szCs w:val="17"/>
              </w:rPr>
              <w:t xml:space="preserve">Submission and acknowledgement</w:t>
            </w:r>
          </w:p>
        </w:tc>
      </w:tr>
      <w:tr>
        <w:trPr>
          <w:cantSplit/>
        </w:trPr>
        <w:tc>
          <w:tcPr>
            <w:tcW w:type="dxa" w:w="584"/>
            <w:shd w:fill="F2F4F6" w:color="auto" w:val="clear"/>
            <w:tcMar>
              <w:top w:type="dxa" w:w="70"/>
              <w:left w:type="dxa" w:w="100"/>
              <w:bottom w:type="dxa" w:w="70"/>
              <w:right w:type="dxa" w:w="100"/>
            </w:tcMar>
            <w:vAlign w:val="top"/>
          </w:tcPr>
          <w:p>
            <w:pPr>
              <w:spacing w:after="0" w:before="0" w:line="252"/>
            </w:pPr>
            <w:r>
              <w:rPr>
                <w:b/>
                <w:bCs/>
                <w:sz w:val="17"/>
                <w:szCs w:val="17"/>
              </w:rPr>
              <w:t xml:space="preserve">6</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Record the authority's advice and the organization's response to it, and update the assessment</w:t>
            </w:r>
          </w:p>
        </w:tc>
        <w:tc>
          <w:tcPr>
            <w:tcW w:type="dxa" w:w="1754"/>
            <w:shd w:fill="F2F4F6" w:color="auto" w:val="clear"/>
            <w:tcMar>
              <w:top w:type="dxa" w:w="70"/>
              <w:left w:type="dxa" w:w="100"/>
              <w:bottom w:type="dxa" w:w="70"/>
              <w:right w:type="dxa" w:w="100"/>
            </w:tcMar>
            <w:vAlign w:val="top"/>
          </w:tcPr>
          <w:p>
            <w:pPr>
              <w:spacing w:after="0" w:before="0" w:line="252"/>
            </w:pPr>
            <w:r>
              <w:rPr>
                <w:sz w:val="17"/>
                <w:szCs w:val="17"/>
              </w:rPr>
              <w:t xml:space="preserve">DPO or privacy lead</w:t>
            </w:r>
          </w:p>
        </w:tc>
        <w:tc>
          <w:tcPr>
            <w:tcW w:type="dxa" w:w="2535"/>
            <w:shd w:fill="F2F4F6" w:color="auto" w:val="clear"/>
            <w:tcMar>
              <w:top w:type="dxa" w:w="70"/>
              <w:left w:type="dxa" w:w="100"/>
              <w:bottom w:type="dxa" w:w="70"/>
              <w:right w:type="dxa" w:w="100"/>
            </w:tcMar>
            <w:vAlign w:val="top"/>
          </w:tcPr>
          <w:p>
            <w:pPr>
              <w:spacing w:after="0" w:before="0" w:line="252"/>
            </w:pPr>
            <w:r>
              <w:rPr>
                <w:sz w:val="17"/>
                <w:szCs w:val="17"/>
              </w:rPr>
              <w:t xml:space="preserve">Advice and response attached to the assessment</w:t>
            </w:r>
          </w:p>
        </w:tc>
      </w:tr>
    </w:tbl>
    <w:p>
      <w:pPr>
        <w:spacing w:after="120" w:line="120"/>
      </w:pPr>
      <w:r>
        <w:rPr>
          <w:sz w:val="4"/>
          <w:szCs w:val="4"/>
        </w:rPr>
        <w:t xml:space="preserve"/>
      </w:r>
    </w:p>
    <w:p>
      <w:pPr>
        <w:spacing w:after="130" w:line="262"/>
      </w:pPr>
      <w:r>
        <w:t xml:space="preserve">The project plan allows for the consultation period from the date of submission. Processing that requires prior consultation does not start before the consultation concludes.</w:t>
      </w:r>
    </w:p>
    <w:p>
      <w:pPr>
        <w:spacing w:after="60" w:line="120"/>
      </w:pPr>
      <w:r>
        <w:rPr>
          <w:sz w:val="4"/>
          <w:szCs w:val="4"/>
        </w:rPr>
        <w:t xml:space="preserve"/>
      </w:r>
    </w:p>
    <w:p>
      <w:pPr>
        <w:pStyle w:val="Heading1"/>
        <w:keepNext/>
        <w:keepLines/>
        <w:pBdr>
          <w:bottom w:val="single" w:color="D4DAE0" w:sz="4" w:space="4"/>
        </w:pBdr>
        <w:spacing w:after="140" w:before="300"/>
      </w:pPr>
      <w:bookmarkStart w:name="_RG0039" w:id="1"/>
      <w:r>
        <w:t xml:space="preserve">13.  Actions, review triggers and review cycle</w:t>
      </w:r>
      <w:bookmarkEnd w:id="1"/>
    </w:p>
    <w:p>
      <w:pPr>
        <w:pStyle w:val="Heading2"/>
        <w:keepNext/>
        <w:keepLines/>
        <w:spacing w:after="90" w:before="220"/>
      </w:pPr>
      <w:bookmarkStart w:name="_RG0040" w:id="1"/>
      <w:r>
        <w:t xml:space="preserve">13.1  Action plan</w:t>
      </w:r>
      <w:bookmarkEnd w:id="1"/>
    </w:p>
    <w:p>
      <w:pPr>
        <w:spacing w:after="130" w:line="262"/>
      </w:pPr>
      <w:r>
        <w:t xml:space="preserve">Every Committed control, every condition of sign-off and every improvement agreed during the assessment is recorded in Appendix F with a single named owner, a due date and the evidence that will show it is complete. The project owner reviews progress at least monthly until all actions are closed. An action that passes its due date is reported to the senior accountable owner within 5 working days, with a revised date and the effect of the delay on the residual rating. Where a condition of sign-off is not met by go-live, processing does not start.</w:t>
      </w:r>
    </w:p>
    <w:p>
      <w:pPr>
        <w:spacing w:after="60" w:line="120"/>
      </w:pPr>
      <w:r>
        <w:rPr>
          <w:sz w:val="4"/>
          <w:szCs w:val="4"/>
        </w:rPr>
        <w:t xml:space="preserve"/>
      </w:r>
    </w:p>
    <w:p>
      <w:pPr>
        <w:pStyle w:val="Heading2"/>
        <w:keepNext/>
        <w:keepLines/>
        <w:spacing w:after="90" w:before="220"/>
      </w:pPr>
      <w:bookmarkStart w:name="_RG0041" w:id="1"/>
      <w:r>
        <w:t xml:space="preserve">13.2  Review triggers</w:t>
      </w:r>
      <w:bookmarkEnd w:id="1"/>
    </w:p>
    <w:p>
      <w:pPr>
        <w:spacing w:after="130" w:line="262"/>
      </w:pPr>
      <w:r>
        <w:t xml:space="preserve">The assessment is reviewed, and where necessary repeated, when any of the following occurs:</w:t>
      </w:r>
    </w:p>
    <w:p>
      <w:pPr>
        <w:pStyle w:val="ListParagraph"/>
        <w:numPr>
          <w:ilvl w:val="0"/>
          <w:numId w:val="2"/>
        </w:numPr>
        <w:spacing w:after="60" w:line="262"/>
      </w:pPr>
      <w:r>
        <w:t xml:space="preserve">A change to the purpose, data categories, data subjects, recipients, processors, sub-processors, transfer locations, retention or the technology used.</w:t>
      </w:r>
    </w:p>
    <w:p>
      <w:pPr>
        <w:pStyle w:val="ListParagraph"/>
        <w:numPr>
          <w:ilvl w:val="0"/>
          <w:numId w:val="2"/>
        </w:numPr>
        <w:spacing w:after="60" w:line="262"/>
      </w:pPr>
      <w:r>
        <w:t xml:space="preserve">A personal data breach or near miss involving the processing, or one involving comparable processing elsewhere that reveals a risk the assessment did not consider.</w:t>
      </w:r>
    </w:p>
    <w:p>
      <w:pPr>
        <w:pStyle w:val="ListParagraph"/>
        <w:numPr>
          <w:ilvl w:val="0"/>
          <w:numId w:val="2"/>
        </w:numPr>
        <w:spacing w:after="60" w:line="262"/>
      </w:pPr>
      <w:r>
        <w:t xml:space="preserve">A complaint, data subject request or regulator inquiry that indicates an impact the assessment did not consider.</w:t>
      </w:r>
    </w:p>
    <w:p>
      <w:pPr>
        <w:pStyle w:val="ListParagraph"/>
        <w:numPr>
          <w:ilvl w:val="0"/>
          <w:numId w:val="2"/>
        </w:numPr>
        <w:spacing w:after="60" w:line="262"/>
      </w:pPr>
      <w:r>
        <w:t xml:space="preserve">A control recorded as In place is found not to be operating.</w:t>
      </w:r>
    </w:p>
    <w:p>
      <w:pPr>
        <w:pStyle w:val="ListParagraph"/>
        <w:numPr>
          <w:ilvl w:val="0"/>
          <w:numId w:val="2"/>
        </w:numPr>
        <w:spacing w:after="60" w:line="262"/>
      </w:pPr>
      <w:r>
        <w:t xml:space="preserve">A change to the applicable data protection law, or new regulator guidance, affecting the processing.</w:t>
      </w:r>
    </w:p>
    <w:p>
      <w:pPr>
        <w:pStyle w:val="ListParagraph"/>
        <w:numPr>
          <w:ilvl w:val="0"/>
          <w:numId w:val="2"/>
        </w:numPr>
        <w:spacing w:after="60" w:line="262"/>
      </w:pPr>
      <w:r>
        <w:t xml:space="preserve">The person who accepted a residual risk leaves the role.</w:t>
      </w:r>
    </w:p>
    <w:p>
      <w:pPr>
        <w:pStyle w:val="ListParagraph"/>
        <w:numPr>
          <w:ilvl w:val="0"/>
          <w:numId w:val="2"/>
        </w:numPr>
        <w:spacing w:after="60" w:line="262"/>
      </w:pPr>
      <w:r>
        <w:t xml:space="preserve">A Medium or High residual risk materializes.</w:t>
      </w:r>
    </w:p>
    <w:p>
      <w:pPr>
        <w:spacing w:after="60" w:line="120"/>
      </w:pPr>
      <w:r>
        <w:rPr>
          <w:sz w:val="4"/>
          <w:szCs w:val="4"/>
        </w:rPr>
        <w:t xml:space="preserve"/>
      </w:r>
    </w:p>
    <w:p>
      <w:pPr>
        <w:pStyle w:val="Heading2"/>
        <w:keepNext/>
        <w:keepLines/>
        <w:spacing w:after="90" w:before="220"/>
      </w:pPr>
      <w:bookmarkStart w:name="_RG0042" w:id="1"/>
      <w:r>
        <w:t xml:space="preserve">13.3  Review cycle</w:t>
      </w:r>
      <w:bookmarkEnd w:id="1"/>
    </w:p>
    <w:p>
      <w:pPr>
        <w:spacing w:after="130" w:line="262"/>
      </w:pPr>
      <w:r>
        <w:t xml:space="preserve">In addition to the triggers, each assessment is reviewed at planned intervals: not less than annually where any residual risk is High or Medium, and not less than every two years where all residual risks are Low. Where the applicable data protection law sets a shorter interval for a type of processing, the shorter interval applies. Each review is recorded in Appendix H, confirms the description and controls are still accurate, re-rates any risk that has changed and is signed by the project owner and the DPO or privacy lead.</w:t>
      </w:r>
    </w:p>
    <w:p>
      <w:pPr>
        <w:spacing w:after="60" w:line="120"/>
      </w:pPr>
      <w:r>
        <w:rPr>
          <w:sz w:val="4"/>
          <w:szCs w:val="4"/>
        </w:rPr>
        <w:t xml:space="preserve"/>
      </w:r>
    </w:p>
    <w:p>
      <w:pPr>
        <w:pStyle w:val="Heading1"/>
        <w:keepNext/>
        <w:keepLines/>
        <w:pBdr>
          <w:bottom w:val="single" w:color="D4DAE0" w:sz="4" w:space="4"/>
        </w:pBdr>
        <w:spacing w:after="140" w:before="300"/>
      </w:pPr>
      <w:bookmarkStart w:name="_RG0043" w:id="1"/>
      <w:r>
        <w:t xml:space="preserve">14.  Records and retention</w:t>
      </w:r>
      <w:bookmarkEnd w:id="1"/>
    </w:p>
    <w:p>
      <w:pPr>
        <w:spacing w:after="130" w:line="262"/>
      </w:pPr>
      <w:r>
        <w:t xml:space="preserve">Each assessment, including its screening checklist, all completed appendices, the data flow diagram, the consultation record, the advice of the DPO or privacy lead and every superseded version, is kept in a single location with controlled access. Superseded versions are retained, not overwritten, so that the state of the assessment on any past date can be shown. Assessments are retained for as long as the processing continues and for not less than three years after it ends, or longer where the applicable data protection law requires.</w:t>
      </w:r>
    </w:p>
    <w:p>
      <w:pPr>
        <w:spacing w:after="130" w:line="262"/>
      </w:pPr>
      <w:r>
        <w:t xml:space="preserve">The organization maintains a register of assessments listing each assessment reference, the processing activity and its record of processing reference, the screening result, the highest residual rating, the outcome, the sign-off date, the next review date and the status of its action plan. The register is the population against which the evidence in Section 15 is tested.</w:t>
      </w:r>
    </w:p>
    <w:p>
      <w:pPr>
        <w:spacing w:after="60" w:line="120"/>
      </w:pPr>
      <w:r>
        <w:rPr>
          <w:sz w:val="4"/>
          <w:szCs w:val="4"/>
        </w:rPr>
        <w:t xml:space="preserve"/>
      </w:r>
    </w:p>
    <w:p>
      <w:pPr>
        <w:pStyle w:val="Heading1"/>
        <w:keepNext/>
        <w:keepLines/>
        <w:pBdr>
          <w:bottom w:val="single" w:color="D4DAE0" w:sz="4" w:space="4"/>
        </w:pBdr>
        <w:spacing w:after="140" w:before="300"/>
      </w:pPr>
      <w:bookmarkStart w:name="_RG0044" w:id="1"/>
      <w:r>
        <w:t xml:space="preserve">15.  Evidence of operation</w:t>
      </w:r>
      <w:bookmarkEnd w:id="1"/>
    </w:p>
    <w:p>
      <w:pPr>
        <w:spacing w:after="130" w:line="262"/>
      </w:pPr>
      <w:r>
        <w:t xml:space="preserve">The following table states, for each requirement of this template, the artifact that shows it operated, the population the artifact must cover and how often it is produced. An assessor tests the artifact against the full population, not a sample the organization selects.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631"/>
        <w:gridCol w:w="2631"/>
        <w:gridCol w:w="2923"/>
        <w:gridCol w:w="1561"/>
      </w:tblGrid>
      <w:tr>
        <w:trPr>
          <w:cantSplit/>
          <w:tblHeader/>
        </w:trPr>
        <w:tc>
          <w:tcPr>
            <w:tcW w:type="dxa" w:w="263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Requirement</w:t>
            </w:r>
          </w:p>
        </w:tc>
        <w:tc>
          <w:tcPr>
            <w:tcW w:type="dxa" w:w="263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Artifact</w:t>
            </w:r>
          </w:p>
        </w:tc>
        <w:tc>
          <w:tcPr>
            <w:tcW w:type="dxa" w:w="292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Population covered</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Produced</w:t>
            </w:r>
          </w:p>
        </w:tc>
      </w:tr>
      <w:tr>
        <w:trPr>
          <w:cantSplit/>
        </w:trPr>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Screening is carried out for every new or changed processing activity</w:t>
            </w:r>
          </w:p>
        </w:tc>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Completed Appendix A, linked from the record of processing</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Every record of processing entry created or changed in the period, and every project in the change or procurement pipeline involving personal data</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Per activity; reconciled quarterly</w:t>
            </w:r>
          </w:p>
        </w:tc>
      </w:tr>
      <w:tr>
        <w:trPr>
          <w:cantSplit/>
        </w:trPr>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Assessments are completed before processing begins</w:t>
            </w:r>
          </w:p>
        </w:tc>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Sign-off date in Appendix G against go-live date</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Every assessment on the register with a go-live in the period</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Per assessment</w:t>
            </w:r>
          </w:p>
        </w:tc>
      </w:tr>
      <w:tr>
        <w:trPr>
          <w:cantSplit/>
        </w:trPr>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Description matches the record and the systems</w:t>
            </w:r>
          </w:p>
        </w:tc>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Data flow diagram, field list, configuration evidence, updated record entry</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Every assessment signed off in the period</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Per assessment</w:t>
            </w:r>
          </w:p>
        </w:tc>
      </w:tr>
      <w:tr>
        <w:trPr>
          <w:cantSplit/>
        </w:trPr>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DPO or privacy lead advice is sought and recorded</w:t>
            </w:r>
          </w:p>
        </w:tc>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Advice in Appendix G in the adviser's words</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Every full assessment</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Per assessment</w:t>
            </w:r>
          </w:p>
        </w:tc>
      </w:tr>
      <w:tr>
        <w:trPr>
          <w:cantSplit/>
        </w:trPr>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Every residual risk is accepted at the correct level</w:t>
            </w:r>
          </w:p>
        </w:tc>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Appendix G acceptance rows by risk ID</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Every risk in every Appendix E on the register</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Per assessment; checked at each review</w:t>
            </w:r>
          </w:p>
        </w:tc>
      </w:tr>
      <w:tr>
        <w:trPr>
          <w:cantSplit/>
        </w:trPr>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Controls counted in residual ratings are evidenced</w:t>
            </w:r>
          </w:p>
        </w:tc>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Evidence references in Appendix E</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Every control with status In place</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Per assessment and per review</w:t>
            </w:r>
          </w:p>
        </w:tc>
      </w:tr>
      <w:tr>
        <w:trPr>
          <w:cantSplit/>
        </w:trPr>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Committed controls are completed on time</w:t>
            </w:r>
          </w:p>
        </w:tc>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Appendix F with closure evidence</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Every action across all open assessments</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Monthly until closed</w:t>
            </w:r>
          </w:p>
        </w:tc>
      </w:tr>
      <w:tr>
        <w:trPr>
          <w:cantSplit/>
        </w:trPr>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Prior consultation decisions are made where a high residual risk remains</w:t>
            </w:r>
          </w:p>
        </w:tc>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Signed decision and, where made, the submission and the authority's advice</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Every assessment with any residual High rating</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Per assessment</w:t>
            </w:r>
          </w:p>
        </w:tc>
      </w:tr>
      <w:tr>
        <w:trPr>
          <w:cantSplit/>
        </w:trPr>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Assessments are reviewed on trigger and on cycle</w:t>
            </w:r>
          </w:p>
        </w:tc>
        <w:tc>
          <w:tcPr>
            <w:tcW w:type="dxa" w:w="2631"/>
            <w:shd w:fill="FFFFFF" w:color="auto" w:val="clear"/>
            <w:tcMar>
              <w:top w:type="dxa" w:w="70"/>
              <w:left w:type="dxa" w:w="100"/>
              <w:bottom w:type="dxa" w:w="70"/>
              <w:right w:type="dxa" w:w="100"/>
            </w:tcMar>
            <w:vAlign w:val="top"/>
          </w:tcPr>
          <w:p>
            <w:pPr>
              <w:spacing w:after="0" w:before="0" w:line="252"/>
            </w:pPr>
            <w:r>
              <w:rPr>
                <w:sz w:val="17"/>
                <w:szCs w:val="17"/>
              </w:rPr>
              <w:t xml:space="preserve">Appendix H entries; register next review dates</w:t>
            </w:r>
          </w:p>
        </w:tc>
        <w:tc>
          <w:tcPr>
            <w:tcW w:type="dxa" w:w="2923"/>
            <w:shd w:fill="FFFFFF" w:color="auto" w:val="clear"/>
            <w:tcMar>
              <w:top w:type="dxa" w:w="70"/>
              <w:left w:type="dxa" w:w="100"/>
              <w:bottom w:type="dxa" w:w="70"/>
              <w:right w:type="dxa" w:w="100"/>
            </w:tcMar>
            <w:vAlign w:val="top"/>
          </w:tcPr>
          <w:p>
            <w:pPr>
              <w:spacing w:after="0" w:before="0" w:line="252"/>
            </w:pPr>
            <w:r>
              <w:rPr>
                <w:sz w:val="17"/>
                <w:szCs w:val="17"/>
              </w:rPr>
              <w:t xml:space="preserve">Every assessment on the register</w:t>
            </w:r>
          </w:p>
        </w:tc>
        <w:tc>
          <w:tcPr>
            <w:tcW w:type="dxa" w:w="1561"/>
            <w:shd w:fill="FFFFFF" w:color="auto" w:val="clear"/>
            <w:tcMar>
              <w:top w:type="dxa" w:w="70"/>
              <w:left w:type="dxa" w:w="100"/>
              <w:bottom w:type="dxa" w:w="70"/>
              <w:right w:type="dxa" w:w="100"/>
            </w:tcMar>
            <w:vAlign w:val="top"/>
          </w:tcPr>
          <w:p>
            <w:pPr>
              <w:spacing w:after="0" w:before="0" w:line="252"/>
            </w:pPr>
            <w:r>
              <w:rPr>
                <w:sz w:val="17"/>
                <w:szCs w:val="17"/>
              </w:rPr>
              <w:t xml:space="preserve">Per review; register checked quarterly</w:t>
            </w:r>
          </w:p>
        </w:tc>
      </w:tr>
      <w:tr>
        <w:trPr>
          <w:cantSplit/>
        </w:trPr>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Superseded versions are retained</w:t>
            </w:r>
          </w:p>
        </w:tc>
        <w:tc>
          <w:tcPr>
            <w:tcW w:type="dxa" w:w="2631"/>
            <w:shd w:fill="F2F4F6" w:color="auto" w:val="clear"/>
            <w:tcMar>
              <w:top w:type="dxa" w:w="70"/>
              <w:left w:type="dxa" w:w="100"/>
              <w:bottom w:type="dxa" w:w="70"/>
              <w:right w:type="dxa" w:w="100"/>
            </w:tcMar>
            <w:vAlign w:val="top"/>
          </w:tcPr>
          <w:p>
            <w:pPr>
              <w:spacing w:after="0" w:before="0" w:line="252"/>
            </w:pPr>
            <w:r>
              <w:rPr>
                <w:sz w:val="17"/>
                <w:szCs w:val="17"/>
              </w:rPr>
              <w:t xml:space="preserve">Version history in the assessment location</w:t>
            </w:r>
          </w:p>
        </w:tc>
        <w:tc>
          <w:tcPr>
            <w:tcW w:type="dxa" w:w="2923"/>
            <w:shd w:fill="F2F4F6" w:color="auto" w:val="clear"/>
            <w:tcMar>
              <w:top w:type="dxa" w:w="70"/>
              <w:left w:type="dxa" w:w="100"/>
              <w:bottom w:type="dxa" w:w="70"/>
              <w:right w:type="dxa" w:w="100"/>
            </w:tcMar>
            <w:vAlign w:val="top"/>
          </w:tcPr>
          <w:p>
            <w:pPr>
              <w:spacing w:after="0" w:before="0" w:line="252"/>
            </w:pPr>
            <w:r>
              <w:rPr>
                <w:sz w:val="17"/>
                <w:szCs w:val="17"/>
              </w:rPr>
              <w:t xml:space="preserve">Every assessment reviewed or changed in the period</w:t>
            </w:r>
          </w:p>
        </w:tc>
        <w:tc>
          <w:tcPr>
            <w:tcW w:type="dxa" w:w="1561"/>
            <w:shd w:fill="F2F4F6" w:color="auto" w:val="clear"/>
            <w:tcMar>
              <w:top w:type="dxa" w:w="70"/>
              <w:left w:type="dxa" w:w="100"/>
              <w:bottom w:type="dxa" w:w="70"/>
              <w:right w:type="dxa" w:w="100"/>
            </w:tcMar>
            <w:vAlign w:val="top"/>
          </w:tcPr>
          <w:p>
            <w:pPr>
              <w:spacing w:after="0" w:before="0" w:line="252"/>
            </w:pPr>
            <w:r>
              <w:rPr>
                <w:sz w:val="17"/>
                <w:szCs w:val="17"/>
              </w:rPr>
              <w:t xml:space="preserve">Continuous</w:t>
            </w: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5" w:id="1"/>
      <w:r>
        <w:t xml:space="preserve">16.  What this document cannot do</w:t>
      </w:r>
      <w:bookmarkEnd w:id="1"/>
    </w:p>
    <w:p>
      <w:pPr>
        <w:pStyle w:val="ListParagraph"/>
        <w:numPr>
          <w:ilvl w:val="0"/>
          <w:numId w:val="2"/>
        </w:numPr>
        <w:spacing w:after="60" w:line="262"/>
      </w:pPr>
      <w:r>
        <w:t xml:space="preserve">It is not legal advice. It does not determine which data protection law applies to a processing activity, and it does not determine the lawful basis on which the organization relies. Those are decisions for the organization, with legal advice where the position is uncertain.</w:t>
      </w:r>
    </w:p>
    <w:p>
      <w:pPr>
        <w:pStyle w:val="ListParagraph"/>
        <w:numPr>
          <w:ilvl w:val="0"/>
          <w:numId w:val="2"/>
        </w:numPr>
        <w:spacing w:after="60" w:line="262"/>
      </w:pPr>
      <w:r>
        <w:t xml:space="preserve">It does not guarantee that an assessment meets every content, format, timing or submission requirement of a particular law. Several regimes prescribe specific elements, certifications or filings; each must be checked against the current text of the law that applies and added to the assessment.</w:t>
      </w:r>
    </w:p>
    <w:p>
      <w:pPr>
        <w:pStyle w:val="ListParagraph"/>
        <w:numPr>
          <w:ilvl w:val="0"/>
          <w:numId w:val="2"/>
        </w:numPr>
        <w:spacing w:after="60" w:line="262"/>
      </w:pPr>
      <w:r>
        <w:t xml:space="preserve">It does not make processing lawful. An assessment that is completed correctly records a decision; it does not make an unlawful purpose lawful or excuse a failure to give notice or honor rights.</w:t>
      </w:r>
    </w:p>
    <w:p>
      <w:pPr>
        <w:pStyle w:val="ListParagraph"/>
        <w:numPr>
          <w:ilvl w:val="0"/>
          <w:numId w:val="2"/>
        </w:numPr>
        <w:spacing w:after="60" w:line="262"/>
      </w:pPr>
      <w:r>
        <w:t xml:space="preserve">It does not establish that the controls it records are operating. That is shown only by the evidence referenced against each control, and by testing that evidence against the full population.</w:t>
      </w:r>
    </w:p>
    <w:p>
      <w:pPr>
        <w:pStyle w:val="ListParagraph"/>
        <w:numPr>
          <w:ilvl w:val="0"/>
          <w:numId w:val="2"/>
        </w:numPr>
        <w:spacing w:after="60" w:line="262"/>
      </w:pPr>
      <w:r>
        <w:t xml:space="preserve">It cannot identify a risk in a data flow nobody disclosed. The assessment is only as complete as the description of processing, and that depends on system owners and processors providing accurate information.</w:t>
      </w:r>
    </w:p>
    <w:p>
      <w:pPr>
        <w:pStyle w:val="ListParagraph"/>
        <w:numPr>
          <w:ilvl w:val="0"/>
          <w:numId w:val="2"/>
        </w:numPr>
        <w:spacing w:after="60" w:line="262"/>
      </w:pPr>
      <w:r>
        <w:t xml:space="preserve">Its likelihood and severity scales are a structured judgment, not a measurement. Two careful assessors may rate the same risk one level apart; the written reason for each rating is what allows the judgment to be examined and defended.</w:t>
      </w:r>
    </w:p>
    <w:p>
      <w:pPr>
        <w:pStyle w:val="ListParagraph"/>
        <w:numPr>
          <w:ilvl w:val="0"/>
          <w:numId w:val="2"/>
        </w:numPr>
        <w:spacing w:after="60" w:line="262"/>
      </w:pPr>
      <w:r>
        <w:t xml:space="preserve">It does not replace the organization's security risk assessment, supplier due diligence or incident response plan. It draws on them and records their results as they affect individuals.</w:t>
      </w:r>
    </w:p>
    <w:p>
      <w:pPr>
        <w:pStyle w:val="Heading1"/>
        <w:keepNext/>
        <w:keepLines/>
        <w:pageBreakBefore/>
        <w:pBdr>
          <w:bottom w:val="single" w:color="D4DAE0" w:sz="4" w:space="4"/>
        </w:pBdr>
        <w:spacing w:after="140" w:before="300"/>
      </w:pPr>
      <w:bookmarkStart w:name="_RG0046" w:id="1"/>
      <w:r>
        <w:t xml:space="preserve">Appendix A.  Screening checklist</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411"/>
        <w:gridCol w:w="6335"/>
      </w:tblGrid>
      <w:tr>
        <w:trPr>
          <w:cantSplit/>
          <w:tblHeader/>
        </w:trPr>
        <w:tc>
          <w:tcPr>
            <w:tcW w:type="dxa" w:w="341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633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3411"/>
            <w:shd w:fill="FFFFFF" w:color="auto" w:val="clear"/>
            <w:tcMar>
              <w:top w:type="dxa" w:w="70"/>
              <w:left w:type="dxa" w:w="100"/>
              <w:bottom w:type="dxa" w:w="70"/>
              <w:right w:type="dxa" w:w="100"/>
            </w:tcMar>
            <w:vAlign w:val="top"/>
          </w:tcPr>
          <w:p>
            <w:pPr>
              <w:spacing w:after="0" w:before="0" w:line="252"/>
            </w:pPr>
            <w:r>
              <w:rPr>
                <w:sz w:val="17"/>
                <w:szCs w:val="17"/>
              </w:rPr>
              <w:t xml:space="preserve">Assessment reference</w:t>
            </w:r>
          </w:p>
        </w:tc>
        <w:tc>
          <w:tcPr>
            <w:tcW w:type="dxa" w:w="6335"/>
            <w:shd w:fill="FFFFFF" w:color="auto" w:val="clear"/>
            <w:tcMar>
              <w:top w:type="dxa" w:w="70"/>
              <w:left w:type="dxa" w:w="100"/>
              <w:bottom w:type="dxa" w:w="70"/>
              <w:right w:type="dxa" w:w="100"/>
            </w:tcMar>
            <w:vAlign w:val="top"/>
          </w:tcPr>
          <w:p>
            <w:pPr>
              <w:spacing w:after="0" w:before="0" w:line="252"/>
            </w:pPr>
          </w:p>
        </w:tc>
      </w:tr>
      <w:tr>
        <w:trPr>
          <w:cantSplit/>
        </w:trPr>
        <w:tc>
          <w:tcPr>
            <w:tcW w:type="dxa" w:w="3411"/>
            <w:shd w:fill="F2F4F6" w:color="auto" w:val="clear"/>
            <w:tcMar>
              <w:top w:type="dxa" w:w="70"/>
              <w:left w:type="dxa" w:w="100"/>
              <w:bottom w:type="dxa" w:w="70"/>
              <w:right w:type="dxa" w:w="100"/>
            </w:tcMar>
            <w:vAlign w:val="top"/>
          </w:tcPr>
          <w:p>
            <w:pPr>
              <w:spacing w:after="0" w:before="0" w:line="252"/>
            </w:pPr>
            <w:r>
              <w:rPr>
                <w:sz w:val="17"/>
                <w:szCs w:val="17"/>
              </w:rPr>
              <w:t xml:space="preserve">Processing activity or project</w:t>
            </w:r>
          </w:p>
        </w:tc>
        <w:tc>
          <w:tcPr>
            <w:tcW w:type="dxa" w:w="6335"/>
            <w:shd w:fill="F2F4F6" w:color="auto" w:val="clear"/>
            <w:tcMar>
              <w:top w:type="dxa" w:w="70"/>
              <w:left w:type="dxa" w:w="100"/>
              <w:bottom w:type="dxa" w:w="70"/>
              <w:right w:type="dxa" w:w="100"/>
            </w:tcMar>
            <w:vAlign w:val="top"/>
          </w:tcPr>
          <w:p>
            <w:pPr>
              <w:spacing w:after="0" w:before="0" w:line="252"/>
            </w:pPr>
          </w:p>
        </w:tc>
      </w:tr>
      <w:tr>
        <w:trPr>
          <w:cantSplit/>
        </w:trPr>
        <w:tc>
          <w:tcPr>
            <w:tcW w:type="dxa" w:w="3411"/>
            <w:shd w:fill="FFFFFF" w:color="auto" w:val="clear"/>
            <w:tcMar>
              <w:top w:type="dxa" w:w="70"/>
              <w:left w:type="dxa" w:w="100"/>
              <w:bottom w:type="dxa" w:w="70"/>
              <w:right w:type="dxa" w:w="100"/>
            </w:tcMar>
            <w:vAlign w:val="top"/>
          </w:tcPr>
          <w:p>
            <w:pPr>
              <w:spacing w:after="0" w:before="0" w:line="252"/>
            </w:pPr>
            <w:r>
              <w:rPr>
                <w:sz w:val="17"/>
                <w:szCs w:val="17"/>
              </w:rPr>
              <w:t xml:space="preserve">Record of processing reference</w:t>
            </w:r>
          </w:p>
        </w:tc>
        <w:tc>
          <w:tcPr>
            <w:tcW w:type="dxa" w:w="6335"/>
            <w:shd w:fill="FFFFFF" w:color="auto" w:val="clear"/>
            <w:tcMar>
              <w:top w:type="dxa" w:w="70"/>
              <w:left w:type="dxa" w:w="100"/>
              <w:bottom w:type="dxa" w:w="70"/>
              <w:right w:type="dxa" w:w="100"/>
            </w:tcMar>
            <w:vAlign w:val="top"/>
          </w:tcPr>
          <w:p>
            <w:pPr>
              <w:spacing w:after="0" w:before="0" w:line="252"/>
            </w:pPr>
          </w:p>
        </w:tc>
      </w:tr>
      <w:tr>
        <w:trPr>
          <w:cantSplit/>
        </w:trPr>
        <w:tc>
          <w:tcPr>
            <w:tcW w:type="dxa" w:w="3411"/>
            <w:shd w:fill="F2F4F6"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6335"/>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3411"/>
            <w:shd w:fill="FFFFFF" w:color="auto" w:val="clear"/>
            <w:tcMar>
              <w:top w:type="dxa" w:w="70"/>
              <w:left w:type="dxa" w:w="100"/>
              <w:bottom w:type="dxa" w:w="70"/>
              <w:right w:type="dxa" w:w="100"/>
            </w:tcMar>
            <w:vAlign w:val="top"/>
          </w:tcPr>
          <w:p>
            <w:pPr>
              <w:spacing w:after="0" w:before="0" w:line="252"/>
            </w:pPr>
            <w:r>
              <w:rPr>
                <w:sz w:val="17"/>
                <w:szCs w:val="17"/>
              </w:rPr>
              <w:t xml:space="preserve">Date screened</w:t>
            </w:r>
          </w:p>
        </w:tc>
        <w:tc>
          <w:tcPr>
            <w:tcW w:type="dxa" w:w="6335"/>
            <w:shd w:fill="FFFFFF" w:color="auto" w:val="clear"/>
            <w:tcMar>
              <w:top w:type="dxa" w:w="70"/>
              <w:left w:type="dxa" w:w="100"/>
              <w:bottom w:type="dxa" w:w="70"/>
              <w:right w:type="dxa" w:w="100"/>
            </w:tcMar>
            <w:vAlign w:val="top"/>
          </w:tcPr>
          <w:p>
            <w:pPr>
              <w:spacing w:after="0" w:before="0" w:line="252"/>
            </w:pPr>
          </w:p>
        </w:tc>
      </w:tr>
      <w:tr>
        <w:trPr>
          <w:cantSplit/>
        </w:trPr>
        <w:tc>
          <w:tcPr>
            <w:tcW w:type="dxa" w:w="3411"/>
            <w:shd w:fill="F2F4F6" w:color="auto" w:val="clear"/>
            <w:tcMar>
              <w:top w:type="dxa" w:w="70"/>
              <w:left w:type="dxa" w:w="100"/>
              <w:bottom w:type="dxa" w:w="70"/>
              <w:right w:type="dxa" w:w="100"/>
            </w:tcMar>
            <w:vAlign w:val="top"/>
          </w:tcPr>
          <w:p>
            <w:pPr>
              <w:spacing w:after="0" w:before="0" w:line="252"/>
            </w:pPr>
            <w:r>
              <w:rPr>
                <w:sz w:val="17"/>
                <w:szCs w:val="17"/>
              </w:rPr>
              <w:t xml:space="preserve">Applicable data protection law or laws</w:t>
            </w:r>
          </w:p>
        </w:tc>
        <w:tc>
          <w:tcPr>
            <w:tcW w:type="dxa" w:w="6335"/>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Group 1: an assessment is required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779"/>
        <w:gridCol w:w="5067"/>
        <w:gridCol w:w="1169"/>
        <w:gridCol w:w="2731"/>
      </w:tblGrid>
      <w:tr>
        <w:trPr>
          <w:cantSplit/>
          <w:tblHeader/>
        </w:trPr>
        <w:tc>
          <w:tcPr>
            <w:tcW w:type="dxa" w:w="77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0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Criterion</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Yes or No</w:t>
            </w:r>
          </w:p>
        </w:tc>
        <w:tc>
          <w:tcPr>
            <w:tcW w:type="dxa" w:w="273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Explanation</w:t>
            </w: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1.1</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Systematic and extensive evaluation of personal aspects, based on automated processing including profiling, with decisions producing legal or similarly significant effects</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b/>
                <w:bCs/>
                <w:sz w:val="17"/>
                <w:szCs w:val="17"/>
              </w:rPr>
              <w:t xml:space="preserve">1.2</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Large-scale processing of special category data or criminal offense data</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1.3</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Systematic monitoring of a publicly accessible area on a large scale</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b/>
                <w:bCs/>
                <w:sz w:val="17"/>
                <w:szCs w:val="17"/>
              </w:rPr>
              <w:t xml:space="preserve">1.4</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Processing type on a published regulator list as requiring an assessment</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Group 2: indicators of likely high risk</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779"/>
        <w:gridCol w:w="5067"/>
        <w:gridCol w:w="1169"/>
        <w:gridCol w:w="2731"/>
      </w:tblGrid>
      <w:tr>
        <w:trPr>
          <w:cantSplit/>
          <w:tblHeader/>
        </w:trPr>
        <w:tc>
          <w:tcPr>
            <w:tcW w:type="dxa" w:w="77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0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Criterion</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Yes or No</w:t>
            </w:r>
          </w:p>
        </w:tc>
        <w:tc>
          <w:tcPr>
            <w:tcW w:type="dxa" w:w="273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Explanation</w:t>
            </w: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2.1</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Evaluation or scoring, including profiling and prediction</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b/>
                <w:bCs/>
                <w:sz w:val="17"/>
                <w:szCs w:val="17"/>
              </w:rPr>
              <w:t xml:space="preserve">2.2</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Automated decision-making with legal or similarly significant effect</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2.3</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Systematic monitoring of individuals, including employees</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b/>
                <w:bCs/>
                <w:sz w:val="17"/>
                <w:szCs w:val="17"/>
              </w:rPr>
              <w:t xml:space="preserve">2.4</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Sensitive data or data of a highly personal nature</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2.5</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Large scale by number of individuals, volume, duration or geography</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b/>
                <w:bCs/>
                <w:sz w:val="17"/>
                <w:szCs w:val="17"/>
              </w:rPr>
              <w:t xml:space="preserve">2.6</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Matching or combining datasets</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2.7</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Vulnerable individuals, including children and employees</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b/>
                <w:bCs/>
                <w:sz w:val="17"/>
                <w:szCs w:val="17"/>
              </w:rPr>
              <w:t xml:space="preserve">2.8</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Innovative technology or new organizational methods, including AI</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2.9</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Prevents individuals exercising a right or using a service or contract</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Group 3: US state law triggers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779"/>
        <w:gridCol w:w="5067"/>
        <w:gridCol w:w="1169"/>
        <w:gridCol w:w="2731"/>
      </w:tblGrid>
      <w:tr>
        <w:trPr>
          <w:cantSplit/>
          <w:tblHeader/>
        </w:trPr>
        <w:tc>
          <w:tcPr>
            <w:tcW w:type="dxa" w:w="77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t>
            </w:r>
          </w:p>
        </w:tc>
        <w:tc>
          <w:tcPr>
            <w:tcW w:type="dxa" w:w="50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Criterion</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Yes or No</w:t>
            </w:r>
          </w:p>
        </w:tc>
        <w:tc>
          <w:tcPr>
            <w:tcW w:type="dxa" w:w="273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Explanation</w:t>
            </w: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3.1</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Selling personal data or sharing it for cross-context behavioral advertising</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b/>
                <w:bCs/>
                <w:sz w:val="17"/>
                <w:szCs w:val="17"/>
              </w:rPr>
              <w:t xml:space="preserve">3.2</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Processing for targeted advertising</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3.3</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Processing sensitive data or sensitive personal information</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r>
        <w:trPr>
          <w:cantSplit/>
        </w:trPr>
        <w:tc>
          <w:tcPr>
            <w:tcW w:type="dxa" w:w="779"/>
            <w:shd w:fill="F2F4F6" w:color="auto" w:val="clear"/>
            <w:tcMar>
              <w:top w:type="dxa" w:w="70"/>
              <w:left w:type="dxa" w:w="100"/>
              <w:bottom w:type="dxa" w:w="70"/>
              <w:right w:type="dxa" w:w="100"/>
            </w:tcMar>
            <w:vAlign w:val="top"/>
          </w:tcPr>
          <w:p>
            <w:pPr>
              <w:spacing w:after="0" w:before="0" w:line="252"/>
            </w:pPr>
            <w:r>
              <w:rPr>
                <w:b/>
                <w:bCs/>
                <w:sz w:val="17"/>
                <w:szCs w:val="17"/>
              </w:rPr>
              <w:t xml:space="preserve">3.4</w:t>
            </w:r>
          </w:p>
        </w:tc>
        <w:tc>
          <w:tcPr>
            <w:tcW w:type="dxa" w:w="5067"/>
            <w:shd w:fill="F2F4F6" w:color="auto" w:val="clear"/>
            <w:tcMar>
              <w:top w:type="dxa" w:w="70"/>
              <w:left w:type="dxa" w:w="100"/>
              <w:bottom w:type="dxa" w:w="70"/>
              <w:right w:type="dxa" w:w="100"/>
            </w:tcMar>
            <w:vAlign w:val="top"/>
          </w:tcPr>
          <w:p>
            <w:pPr>
              <w:spacing w:after="0" w:before="0" w:line="252"/>
            </w:pPr>
            <w:r>
              <w:rPr>
                <w:sz w:val="17"/>
                <w:szCs w:val="17"/>
              </w:rPr>
              <w:t xml:space="preserve">Profiling presenting a reasonably foreseeable risk of unfair or disparate treatment, financial or physical injury, offensive intrusion, or other substantial injury</w:t>
            </w: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731"/>
            <w:shd w:fill="F2F4F6" w:color="auto" w:val="clear"/>
            <w:tcMar>
              <w:top w:type="dxa" w:w="70"/>
              <w:left w:type="dxa" w:w="100"/>
              <w:bottom w:type="dxa" w:w="70"/>
              <w:right w:type="dxa" w:w="100"/>
            </w:tcMar>
            <w:vAlign w:val="top"/>
          </w:tcPr>
          <w:p>
            <w:pPr>
              <w:spacing w:after="0" w:before="0" w:line="252"/>
            </w:pPr>
          </w:p>
        </w:tc>
      </w:tr>
      <w:tr>
        <w:trPr>
          <w:cantSplit/>
        </w:trPr>
        <w:tc>
          <w:tcPr>
            <w:tcW w:type="dxa" w:w="779"/>
            <w:shd w:fill="FFFFFF" w:color="auto" w:val="clear"/>
            <w:tcMar>
              <w:top w:type="dxa" w:w="70"/>
              <w:left w:type="dxa" w:w="100"/>
              <w:bottom w:type="dxa" w:w="70"/>
              <w:right w:type="dxa" w:w="100"/>
            </w:tcMar>
            <w:vAlign w:val="top"/>
          </w:tcPr>
          <w:p>
            <w:pPr>
              <w:spacing w:after="0" w:before="0" w:line="252"/>
            </w:pPr>
            <w:r>
              <w:rPr>
                <w:b/>
                <w:bCs/>
                <w:sz w:val="17"/>
                <w:szCs w:val="17"/>
              </w:rPr>
              <w:t xml:space="preserve">3.5</w:t>
            </w:r>
          </w:p>
        </w:tc>
        <w:tc>
          <w:tcPr>
            <w:tcW w:type="dxa" w:w="5067"/>
            <w:shd w:fill="FFFFFF" w:color="auto" w:val="clear"/>
            <w:tcMar>
              <w:top w:type="dxa" w:w="70"/>
              <w:left w:type="dxa" w:w="100"/>
              <w:bottom w:type="dxa" w:w="70"/>
              <w:right w:type="dxa" w:w="100"/>
            </w:tcMar>
            <w:vAlign w:val="top"/>
          </w:tcPr>
          <w:p>
            <w:pPr>
              <w:spacing w:after="0" w:before="0" w:line="252"/>
            </w:pPr>
            <w:r>
              <w:rPr>
                <w:sz w:val="17"/>
                <w:szCs w:val="17"/>
              </w:rPr>
              <w:t xml:space="preserve">Using or training automated decision-making technology within the scope of the applicable data protection law</w:t>
            </w: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73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Decision</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385"/>
        <w:gridCol w:w="5361"/>
      </w:tblGrid>
      <w:tr>
        <w:trPr>
          <w:cantSplit/>
          <w:tblHeader/>
        </w:trPr>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3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Screening result: full assessment required, advisable, or not required</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Reason, in a sentence</w:t>
            </w:r>
          </w:p>
        </w:tc>
        <w:tc>
          <w:tcPr>
            <w:tcW w:type="dxa" w:w="5361"/>
            <w:shd w:fill="F2F4F6" w:color="auto" w:val="clear"/>
            <w:tcMar>
              <w:top w:type="dxa" w:w="70"/>
              <w:left w:type="dxa" w:w="100"/>
              <w:bottom w:type="dxa" w:w="70"/>
              <w:right w:type="dxa" w:w="100"/>
            </w:tcMar>
            <w:vAlign w:val="top"/>
          </w:tcPr>
          <w:p>
            <w:pPr>
              <w:spacing w:after="0" w:before="0" w:line="252"/>
            </w:pP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Additional content required by applicable law</w:t>
            </w:r>
          </w:p>
        </w:tc>
        <w:tc>
          <w:tcPr>
            <w:tcW w:type="dxa" w:w="5361"/>
            <w:shd w:fill="FFFFFF" w:color="auto" w:val="clear"/>
            <w:tcMar>
              <w:top w:type="dxa" w:w="70"/>
              <w:left w:type="dxa" w:w="100"/>
              <w:bottom w:type="dxa" w:w="70"/>
              <w:right w:type="dxa" w:w="100"/>
            </w:tcMar>
            <w:vAlign w:val="top"/>
          </w:tcPr>
          <w:p>
            <w:pPr>
              <w:spacing w:after="0" w:before="0" w:line="252"/>
            </w:pPr>
          </w:p>
        </w:tc>
      </w:tr>
      <w:tr>
        <w:trPr>
          <w:cantSplit/>
        </w:trPr>
        <w:tc>
          <w:tcPr>
            <w:tcW w:type="dxa" w:w="4385"/>
            <w:shd w:fill="F2F4F6" w:color="auto" w:val="clear"/>
            <w:tcMar>
              <w:top w:type="dxa" w:w="70"/>
              <w:left w:type="dxa" w:w="100"/>
              <w:bottom w:type="dxa" w:w="70"/>
              <w:right w:type="dxa" w:w="100"/>
            </w:tcMar>
            <w:vAlign w:val="top"/>
          </w:tcPr>
          <w:p>
            <w:pPr>
              <w:spacing w:after="0" w:before="0" w:line="252"/>
            </w:pPr>
            <w:r>
              <w:rPr>
                <w:sz w:val="17"/>
                <w:szCs w:val="17"/>
              </w:rPr>
              <w:t xml:space="preserve">Confirmed by DPO or privacy lead</w:t>
            </w:r>
          </w:p>
        </w:tc>
        <w:tc>
          <w:tcPr>
            <w:tcW w:type="dxa" w:w="5361"/>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4385"/>
            <w:shd w:fill="FFFFFF" w:color="auto" w:val="clear"/>
            <w:tcMar>
              <w:top w:type="dxa" w:w="70"/>
              <w:left w:type="dxa" w:w="100"/>
              <w:bottom w:type="dxa" w:w="70"/>
              <w:right w:type="dxa" w:w="100"/>
            </w:tcMar>
            <w:vAlign w:val="top"/>
          </w:tcPr>
          <w:p>
            <w:pPr>
              <w:spacing w:after="0" w:before="0" w:line="252"/>
            </w:pPr>
            <w:r>
              <w:rPr>
                <w:sz w:val="17"/>
                <w:szCs w:val="17"/>
              </w:rPr>
              <w:t xml:space="preserve">Date confirmed</w:t>
            </w:r>
          </w:p>
        </w:tc>
        <w:tc>
          <w:tcPr>
            <w:tcW w:type="dxa" w:w="536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7" w:id="1"/>
      <w:r>
        <w:t xml:space="preserve">Appendix B.  Processing description form</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898"/>
        <w:gridCol w:w="5848"/>
      </w:tblGrid>
      <w:tr>
        <w:trPr>
          <w:cantSplit/>
          <w:tblHeader/>
        </w:trPr>
        <w:tc>
          <w:tcPr>
            <w:tcW w:type="dxa" w:w="389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584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Assessment reference and version</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Record of processing reference</w:t>
            </w:r>
          </w:p>
        </w:tc>
        <w:tc>
          <w:tcPr>
            <w:tcW w:type="dxa" w:w="5848"/>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Senior accountable owner</w:t>
            </w:r>
          </w:p>
        </w:tc>
        <w:tc>
          <w:tcPr>
            <w:tcW w:type="dxa" w:w="5848"/>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Project owner</w:t>
            </w:r>
          </w:p>
        </w:tc>
        <w:tc>
          <w:tcPr>
            <w:tcW w:type="dxa" w:w="5848"/>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DPO or privacy lead</w:t>
            </w:r>
          </w:p>
        </w:tc>
        <w:tc>
          <w:tcPr>
            <w:tcW w:type="dxa" w:w="5848"/>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Planned go-live date</w:t>
            </w:r>
          </w:p>
        </w:tc>
        <w:tc>
          <w:tcPr>
            <w:tcW w:type="dxa" w:w="5848"/>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Nature of the processing</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Purposes, each stated specifically</w:t>
            </w:r>
          </w:p>
        </w:tc>
        <w:tc>
          <w:tcPr>
            <w:tcW w:type="dxa" w:w="5848"/>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Legitimate interest pursued, where relied on</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Automated decision-making or profiling and human review</w:t>
            </w:r>
          </w:p>
        </w:tc>
        <w:tc>
          <w:tcPr>
            <w:tcW w:type="dxa" w:w="5848"/>
            <w:shd w:fill="F2F4F6" w:color="auto" w:val="clear"/>
            <w:tcMar>
              <w:top w:type="dxa" w:w="70"/>
              <w:left w:type="dxa" w:w="100"/>
              <w:bottom w:type="dxa" w:w="70"/>
              <w:right w:type="dxa" w:w="100"/>
            </w:tcMar>
            <w:vAlign w:val="top"/>
          </w:tcPr>
          <w:p>
            <w:pPr>
              <w:spacing w:after="0" w:before="0" w:line="252"/>
            </w:pPr>
          </w:p>
        </w:tc>
      </w:tr>
      <w:tr>
        <w:trPr>
          <w:cantSplit/>
        </w:trPr>
        <w:tc>
          <w:tcPr>
            <w:tcW w:type="dxa" w:w="3898"/>
            <w:shd w:fill="FFFFFF" w:color="auto" w:val="clear"/>
            <w:tcMar>
              <w:top w:type="dxa" w:w="70"/>
              <w:left w:type="dxa" w:w="100"/>
              <w:bottom w:type="dxa" w:w="70"/>
              <w:right w:type="dxa" w:w="100"/>
            </w:tcMar>
            <w:vAlign w:val="top"/>
          </w:tcPr>
          <w:p>
            <w:pPr>
              <w:spacing w:after="0" w:before="0" w:line="252"/>
            </w:pPr>
            <w:r>
              <w:rPr>
                <w:sz w:val="17"/>
                <w:szCs w:val="17"/>
              </w:rPr>
              <w:t xml:space="preserve">Context and reasonable expectations of individuals</w:t>
            </w:r>
          </w:p>
        </w:tc>
        <w:tc>
          <w:tcPr>
            <w:tcW w:type="dxa" w:w="5848"/>
            <w:shd w:fill="FFFFFF" w:color="auto" w:val="clear"/>
            <w:tcMar>
              <w:top w:type="dxa" w:w="70"/>
              <w:left w:type="dxa" w:w="100"/>
              <w:bottom w:type="dxa" w:w="70"/>
              <w:right w:type="dxa" w:w="100"/>
            </w:tcMar>
            <w:vAlign w:val="top"/>
          </w:tcPr>
          <w:p>
            <w:pPr>
              <w:spacing w:after="0" w:before="0" w:line="252"/>
            </w:pPr>
          </w:p>
        </w:tc>
      </w:tr>
      <w:tr>
        <w:trPr>
          <w:cantSplit/>
        </w:trPr>
        <w:tc>
          <w:tcPr>
            <w:tcW w:type="dxa" w:w="3898"/>
            <w:shd w:fill="F2F4F6" w:color="auto" w:val="clear"/>
            <w:tcMar>
              <w:top w:type="dxa" w:w="70"/>
              <w:left w:type="dxa" w:w="100"/>
              <w:bottom w:type="dxa" w:w="70"/>
              <w:right w:type="dxa" w:w="100"/>
            </w:tcMar>
            <w:vAlign w:val="top"/>
          </w:tcPr>
          <w:p>
            <w:pPr>
              <w:spacing w:after="0" w:before="0" w:line="252"/>
            </w:pPr>
            <w:r>
              <w:rPr>
                <w:sz w:val="17"/>
                <w:szCs w:val="17"/>
              </w:rPr>
              <w:t xml:space="preserve">Data flow diagram reference and date</w:t>
            </w:r>
          </w:p>
        </w:tc>
        <w:tc>
          <w:tcPr>
            <w:tcW w:type="dxa" w:w="5848"/>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Data subjects and data categories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949"/>
        <w:gridCol w:w="1169"/>
        <w:gridCol w:w="1169"/>
        <w:gridCol w:w="2339"/>
        <w:gridCol w:w="1559"/>
        <w:gridCol w:w="1561"/>
      </w:tblGrid>
      <w:tr>
        <w:trPr>
          <w:cantSplit/>
          <w:tblHeader/>
        </w:trPr>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Data subject category</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Approx. number</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Vulnerable (Y/N)</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Data categories</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Source</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Special or sensitive (Y/N)</w:t>
            </w:r>
          </w:p>
        </w:tc>
      </w:tr>
      <w:tr>
        <w:trPr>
          <w:cantSplit/>
        </w:trPr>
        <w:tc>
          <w:tcPr>
            <w:tcW w:type="dxa" w:w="194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94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194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194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194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Recipients and transfers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754"/>
        <w:gridCol w:w="1754"/>
        <w:gridCol w:w="1949"/>
        <w:gridCol w:w="1364"/>
        <w:gridCol w:w="1559"/>
        <w:gridCol w:w="1366"/>
      </w:tblGrid>
      <w:tr>
        <w:trPr>
          <w:cantSplit/>
          <w:tblHeader/>
        </w:trPr>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Recipient</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Internal or processor or third party</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Purpose of access</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Location</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Transfer mechanism</w:t>
            </w:r>
          </w:p>
        </w:tc>
        <w:tc>
          <w:tcPr>
            <w:tcW w:type="dxa" w:w="136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Contract reference</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175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175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r>
        <w:trPr>
          <w:cantSplit/>
        </w:trPr>
        <w:tc>
          <w:tcPr>
            <w:tcW w:type="dxa" w:w="175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366"/>
            <w:shd w:fill="F2F4F6" w:color="auto" w:val="clear"/>
            <w:tcMar>
              <w:top w:type="dxa" w:w="70"/>
              <w:left w:type="dxa" w:w="100"/>
              <w:bottom w:type="dxa" w:w="70"/>
              <w:right w:type="dxa" w:w="100"/>
            </w:tcMar>
            <w:vAlign w:val="top"/>
          </w:tcPr>
          <w:p>
            <w:pPr>
              <w:spacing w:after="0" w:before="0" w:line="252"/>
            </w:pPr>
          </w:p>
        </w:tc>
      </w:tr>
      <w:tr>
        <w:trPr>
          <w:cantSplit/>
        </w:trPr>
        <w:tc>
          <w:tcPr>
            <w:tcW w:type="dxa" w:w="175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366"/>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Systems and retention</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559"/>
        <w:gridCol w:w="1364"/>
        <w:gridCol w:w="1559"/>
        <w:gridCol w:w="1754"/>
        <w:gridCol w:w="1754"/>
        <w:gridCol w:w="1756"/>
      </w:tblGrid>
      <w:tr>
        <w:trPr>
          <w:cantSplit/>
          <w:tblHeader/>
        </w:trPr>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System</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Hosting location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Data categories held</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Retention period and trigger</w:t>
            </w:r>
          </w:p>
        </w:tc>
        <w:tc>
          <w:tcPr>
            <w:tcW w:type="dxa" w:w="175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Deletion method</w:t>
            </w:r>
          </w:p>
        </w:tc>
      </w:tr>
      <w:tr>
        <w:trPr>
          <w:cantSplit/>
        </w:trPr>
        <w:tc>
          <w:tcPr>
            <w:tcW w:type="dxa" w:w="155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155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155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r>
        <w:trPr>
          <w:cantSplit/>
        </w:trPr>
        <w:tc>
          <w:tcPr>
            <w:tcW w:type="dxa" w:w="155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756"/>
            <w:shd w:fill="F2F4F6" w:color="auto" w:val="clear"/>
            <w:tcMar>
              <w:top w:type="dxa" w:w="70"/>
              <w:left w:type="dxa" w:w="100"/>
              <w:bottom w:type="dxa" w:w="70"/>
              <w:right w:type="dxa" w:w="100"/>
            </w:tcMar>
            <w:vAlign w:val="top"/>
          </w:tcPr>
          <w:p>
            <w:pPr>
              <w:spacing w:after="0" w:before="0" w:line="252"/>
            </w:pPr>
          </w:p>
        </w:tc>
      </w:tr>
      <w:tr>
        <w:trPr>
          <w:cantSplit/>
        </w:trPr>
        <w:tc>
          <w:tcPr>
            <w:tcW w:type="dxa" w:w="155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756"/>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Additional content required by applicable law</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411"/>
        <w:gridCol w:w="1949"/>
        <w:gridCol w:w="4386"/>
      </w:tblGrid>
      <w:tr>
        <w:trPr>
          <w:cantSplit/>
          <w:tblHeader/>
        </w:trPr>
        <w:tc>
          <w:tcPr>
            <w:tcW w:type="dxa" w:w="341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Requirement and source</w:t>
            </w:r>
          </w:p>
        </w:tc>
        <w:tc>
          <w:tcPr>
            <w:tcW w:type="dxa" w:w="194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Where addressed</w:t>
            </w:r>
          </w:p>
        </w:tc>
        <w:tc>
          <w:tcPr>
            <w:tcW w:type="dxa" w:w="4386"/>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3411"/>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4386"/>
            <w:shd w:fill="FFFFFF" w:color="auto" w:val="clear"/>
            <w:tcMar>
              <w:top w:type="dxa" w:w="70"/>
              <w:left w:type="dxa" w:w="100"/>
              <w:bottom w:type="dxa" w:w="70"/>
              <w:right w:type="dxa" w:w="100"/>
            </w:tcMar>
            <w:vAlign w:val="top"/>
          </w:tcPr>
          <w:p>
            <w:pPr>
              <w:spacing w:after="0" w:before="0" w:line="252"/>
            </w:pPr>
          </w:p>
        </w:tc>
      </w:tr>
      <w:tr>
        <w:trPr>
          <w:cantSplit/>
        </w:trPr>
        <w:tc>
          <w:tcPr>
            <w:tcW w:type="dxa" w:w="3411"/>
            <w:shd w:fill="F2F4F6" w:color="auto" w:val="clear"/>
            <w:tcMar>
              <w:top w:type="dxa" w:w="70"/>
              <w:left w:type="dxa" w:w="100"/>
              <w:bottom w:type="dxa" w:w="70"/>
              <w:right w:type="dxa" w:w="100"/>
            </w:tcMar>
            <w:vAlign w:val="top"/>
          </w:tcPr>
          <w:p>
            <w:pPr>
              <w:spacing w:after="0" w:before="0" w:line="252"/>
            </w:pPr>
          </w:p>
        </w:tc>
        <w:tc>
          <w:tcPr>
            <w:tcW w:type="dxa" w:w="1949"/>
            <w:shd w:fill="F2F4F6" w:color="auto" w:val="clear"/>
            <w:tcMar>
              <w:top w:type="dxa" w:w="70"/>
              <w:left w:type="dxa" w:w="100"/>
              <w:bottom w:type="dxa" w:w="70"/>
              <w:right w:type="dxa" w:w="100"/>
            </w:tcMar>
            <w:vAlign w:val="top"/>
          </w:tcPr>
          <w:p>
            <w:pPr>
              <w:spacing w:after="0" w:before="0" w:line="252"/>
            </w:pPr>
          </w:p>
        </w:tc>
        <w:tc>
          <w:tcPr>
            <w:tcW w:type="dxa" w:w="4386"/>
            <w:shd w:fill="F2F4F6" w:color="auto" w:val="clear"/>
            <w:tcMar>
              <w:top w:type="dxa" w:w="70"/>
              <w:left w:type="dxa" w:w="100"/>
              <w:bottom w:type="dxa" w:w="70"/>
              <w:right w:type="dxa" w:w="100"/>
            </w:tcMar>
            <w:vAlign w:val="top"/>
          </w:tcPr>
          <w:p>
            <w:pPr>
              <w:spacing w:after="0" w:before="0" w:line="252"/>
            </w:pPr>
          </w:p>
        </w:tc>
      </w:tr>
      <w:tr>
        <w:trPr>
          <w:cantSplit/>
        </w:trPr>
        <w:tc>
          <w:tcPr>
            <w:tcW w:type="dxa" w:w="3411"/>
            <w:shd w:fill="FFFFFF" w:color="auto" w:val="clear"/>
            <w:tcMar>
              <w:top w:type="dxa" w:w="70"/>
              <w:left w:type="dxa" w:w="100"/>
              <w:bottom w:type="dxa" w:w="70"/>
              <w:right w:type="dxa" w:w="100"/>
            </w:tcMar>
            <w:vAlign w:val="top"/>
          </w:tcPr>
          <w:p>
            <w:pPr>
              <w:spacing w:after="0" w:before="0" w:line="252"/>
            </w:pPr>
          </w:p>
        </w:tc>
        <w:tc>
          <w:tcPr>
            <w:tcW w:type="dxa" w:w="1949"/>
            <w:shd w:fill="FFFFFF" w:color="auto" w:val="clear"/>
            <w:tcMar>
              <w:top w:type="dxa" w:w="70"/>
              <w:left w:type="dxa" w:w="100"/>
              <w:bottom w:type="dxa" w:w="70"/>
              <w:right w:type="dxa" w:w="100"/>
            </w:tcMar>
            <w:vAlign w:val="top"/>
          </w:tcPr>
          <w:p>
            <w:pPr>
              <w:spacing w:after="0" w:before="0" w:line="252"/>
            </w:pPr>
          </w:p>
        </w:tc>
        <w:tc>
          <w:tcPr>
            <w:tcW w:type="dxa" w:w="4386"/>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8" w:id="1"/>
      <w:r>
        <w:t xml:space="preserve">Appendix C.  Necessity and proportionality form</w:t>
      </w:r>
      <w:bookmarkEnd w:id="1"/>
    </w:p>
    <w:p>
      <w:pPr>
        <w:keepNext/>
        <w:spacing w:after="70" w:before="180"/>
      </w:pPr>
      <w:r>
        <w:rPr>
          <w:b/>
          <w:bCs/>
          <w:color w:val="15314B"/>
          <w:sz w:val="19"/>
          <w:szCs w:val="19"/>
        </w:rPr>
        <w:t xml:space="preserve">Lawful basis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339"/>
        <w:gridCol w:w="1754"/>
        <w:gridCol w:w="2144"/>
        <w:gridCol w:w="1754"/>
        <w:gridCol w:w="1755"/>
      </w:tblGrid>
      <w:tr>
        <w:trPr>
          <w:cantSplit/>
          <w:tblHeader/>
        </w:trPr>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Purpose</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Lawful basis</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Special category condition or sensitive data basis</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Benefits and risks weighing reference</w:t>
            </w:r>
          </w:p>
        </w:tc>
        <w:tc>
          <w:tcPr>
            <w:tcW w:type="dxa" w:w="175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Advised by</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755"/>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755"/>
            <w:shd w:fill="F2F4F6" w:color="auto" w:val="clear"/>
            <w:tcMar>
              <w:top w:type="dxa" w:w="70"/>
              <w:left w:type="dxa" w:w="100"/>
              <w:bottom w:type="dxa" w:w="70"/>
              <w:right w:type="dxa" w:w="100"/>
            </w:tcMar>
            <w:vAlign w:val="top"/>
          </w:tcPr>
          <w:p>
            <w:pPr>
              <w:spacing w:after="0" w:before="0" w:line="252"/>
            </w:pPr>
          </w:p>
        </w:tc>
      </w:tr>
      <w:tr>
        <w:trPr>
          <w:cantSplit/>
        </w:trPr>
        <w:tc>
          <w:tcPr>
            <w:tcW w:type="dxa" w:w="2339"/>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754"/>
            <w:shd w:fill="FFFFFF" w:color="auto" w:val="clear"/>
            <w:tcMar>
              <w:top w:type="dxa" w:w="70"/>
              <w:left w:type="dxa" w:w="100"/>
              <w:bottom w:type="dxa" w:w="70"/>
              <w:right w:type="dxa" w:w="100"/>
            </w:tcMar>
            <w:vAlign w:val="top"/>
          </w:tcPr>
          <w:p>
            <w:pPr>
              <w:spacing w:after="0" w:before="0" w:line="252"/>
            </w:pPr>
          </w:p>
        </w:tc>
        <w:tc>
          <w:tcPr>
            <w:tcW w:type="dxa" w:w="1755"/>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754"/>
            <w:shd w:fill="F2F4F6" w:color="auto" w:val="clear"/>
            <w:tcMar>
              <w:top w:type="dxa" w:w="70"/>
              <w:left w:type="dxa" w:w="100"/>
              <w:bottom w:type="dxa" w:w="70"/>
              <w:right w:type="dxa" w:w="100"/>
            </w:tcMar>
            <w:vAlign w:val="top"/>
          </w:tcPr>
          <w:p>
            <w:pPr>
              <w:spacing w:after="0" w:before="0" w:line="252"/>
            </w:pPr>
          </w:p>
        </w:tc>
        <w:tc>
          <w:tcPr>
            <w:tcW w:type="dxa" w:w="1755"/>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Data minimization</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339"/>
        <w:gridCol w:w="2728"/>
        <w:gridCol w:w="3118"/>
        <w:gridCol w:w="1561"/>
      </w:tblGrid>
      <w:tr>
        <w:trPr>
          <w:cantSplit/>
          <w:tblHeader/>
        </w:trPr>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Data category</w:t>
            </w:r>
          </w:p>
        </w:tc>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Purpose that requires it</w:t>
            </w:r>
          </w:p>
        </w:tc>
        <w:tc>
          <w:tcPr>
            <w:tcW w:type="dxa" w:w="31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Decision or output that fails without it</w:t>
            </w:r>
          </w:p>
        </w:tc>
        <w:tc>
          <w:tcPr>
            <w:tcW w:type="dxa" w:w="156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Keep, reduce or remove</w:t>
            </w:r>
          </w:p>
        </w:tc>
      </w:tr>
      <w:tr>
        <w:trPr>
          <w:cantSplit/>
        </w:trPr>
        <w:tc>
          <w:tcPr>
            <w:tcW w:type="dxa" w:w="2339"/>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3118"/>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3118"/>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2339"/>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3118"/>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3118"/>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r>
        <w:trPr>
          <w:cantSplit/>
        </w:trPr>
        <w:tc>
          <w:tcPr>
            <w:tcW w:type="dxa" w:w="2339"/>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3118"/>
            <w:shd w:fill="FFFFFF" w:color="auto" w:val="clear"/>
            <w:tcMar>
              <w:top w:type="dxa" w:w="70"/>
              <w:left w:type="dxa" w:w="100"/>
              <w:bottom w:type="dxa" w:w="70"/>
              <w:right w:type="dxa" w:w="100"/>
            </w:tcMar>
            <w:vAlign w:val="top"/>
          </w:tcPr>
          <w:p>
            <w:pPr>
              <w:spacing w:after="0" w:before="0" w:line="252"/>
            </w:pPr>
          </w:p>
        </w:tc>
        <w:tc>
          <w:tcPr>
            <w:tcW w:type="dxa" w:w="1561"/>
            <w:shd w:fill="FFFFFF" w:color="auto" w:val="clear"/>
            <w:tcMar>
              <w:top w:type="dxa" w:w="70"/>
              <w:left w:type="dxa" w:w="100"/>
              <w:bottom w:type="dxa" w:w="70"/>
              <w:right w:type="dxa" w:w="100"/>
            </w:tcMar>
            <w:vAlign w:val="top"/>
          </w:tcPr>
          <w:p>
            <w:pPr>
              <w:spacing w:after="0" w:before="0" w:line="252"/>
            </w:pPr>
          </w:p>
        </w:tc>
      </w:tr>
      <w:tr>
        <w:trPr>
          <w:cantSplit/>
        </w:trPr>
        <w:tc>
          <w:tcPr>
            <w:tcW w:type="dxa" w:w="2339"/>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3118"/>
            <w:shd w:fill="F2F4F6" w:color="auto" w:val="clear"/>
            <w:tcMar>
              <w:top w:type="dxa" w:w="70"/>
              <w:left w:type="dxa" w:w="100"/>
              <w:bottom w:type="dxa" w:w="70"/>
              <w:right w:type="dxa" w:w="100"/>
            </w:tcMar>
            <w:vAlign w:val="top"/>
          </w:tcPr>
          <w:p>
            <w:pPr>
              <w:spacing w:after="0" w:before="0" w:line="252"/>
            </w:pPr>
          </w:p>
        </w:tc>
        <w:tc>
          <w:tcPr>
            <w:tcW w:type="dxa" w:w="1561"/>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Alternatives considered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3411"/>
        <w:gridCol w:w="4385"/>
        <w:gridCol w:w="1950"/>
      </w:tblGrid>
      <w:tr>
        <w:trPr>
          <w:cantSplit/>
          <w:tblHeader/>
        </w:trPr>
        <w:tc>
          <w:tcPr>
            <w:tcW w:type="dxa" w:w="341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Alternative</w:t>
            </w:r>
          </w:p>
        </w:tc>
        <w:tc>
          <w:tcPr>
            <w:tcW w:type="dxa" w:w="4385"/>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Reason rejected</w:t>
            </w:r>
          </w:p>
        </w:tc>
        <w:tc>
          <w:tcPr>
            <w:tcW w:type="dxa" w:w="195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Decided by</w:t>
            </w:r>
          </w:p>
        </w:tc>
      </w:tr>
      <w:tr>
        <w:trPr>
          <w:cantSplit/>
        </w:trPr>
        <w:tc>
          <w:tcPr>
            <w:tcW w:type="dxa" w:w="3411"/>
            <w:shd w:fill="FFFFFF" w:color="auto" w:val="clear"/>
            <w:tcMar>
              <w:top w:type="dxa" w:w="70"/>
              <w:left w:type="dxa" w:w="100"/>
              <w:bottom w:type="dxa" w:w="70"/>
              <w:right w:type="dxa" w:w="100"/>
            </w:tcMar>
            <w:vAlign w:val="top"/>
          </w:tcPr>
          <w:p>
            <w:pPr>
              <w:spacing w:after="0" w:before="0" w:line="252"/>
            </w:pPr>
          </w:p>
        </w:tc>
        <w:tc>
          <w:tcPr>
            <w:tcW w:type="dxa" w:w="4385"/>
            <w:shd w:fill="FFFFFF" w:color="auto" w:val="clear"/>
            <w:tcMar>
              <w:top w:type="dxa" w:w="70"/>
              <w:left w:type="dxa" w:w="100"/>
              <w:bottom w:type="dxa" w:w="70"/>
              <w:right w:type="dxa" w:w="100"/>
            </w:tcMar>
            <w:vAlign w:val="top"/>
          </w:tcPr>
          <w:p>
            <w:pPr>
              <w:spacing w:after="0" w:before="0" w:line="252"/>
            </w:pPr>
          </w:p>
        </w:tc>
        <w:tc>
          <w:tcPr>
            <w:tcW w:type="dxa" w:w="1950"/>
            <w:shd w:fill="FFFFFF" w:color="auto" w:val="clear"/>
            <w:tcMar>
              <w:top w:type="dxa" w:w="70"/>
              <w:left w:type="dxa" w:w="100"/>
              <w:bottom w:type="dxa" w:w="70"/>
              <w:right w:type="dxa" w:w="100"/>
            </w:tcMar>
            <w:vAlign w:val="top"/>
          </w:tcPr>
          <w:p>
            <w:pPr>
              <w:spacing w:after="0" w:before="0" w:line="252"/>
            </w:pPr>
          </w:p>
        </w:tc>
      </w:tr>
      <w:tr>
        <w:trPr>
          <w:cantSplit/>
        </w:trPr>
        <w:tc>
          <w:tcPr>
            <w:tcW w:type="dxa" w:w="3411"/>
            <w:shd w:fill="F2F4F6" w:color="auto" w:val="clear"/>
            <w:tcMar>
              <w:top w:type="dxa" w:w="70"/>
              <w:left w:type="dxa" w:w="100"/>
              <w:bottom w:type="dxa" w:w="70"/>
              <w:right w:type="dxa" w:w="100"/>
            </w:tcMar>
            <w:vAlign w:val="top"/>
          </w:tcPr>
          <w:p>
            <w:pPr>
              <w:spacing w:after="0" w:before="0" w:line="252"/>
            </w:pPr>
          </w:p>
        </w:tc>
        <w:tc>
          <w:tcPr>
            <w:tcW w:type="dxa" w:w="4385"/>
            <w:shd w:fill="F2F4F6" w:color="auto" w:val="clear"/>
            <w:tcMar>
              <w:top w:type="dxa" w:w="70"/>
              <w:left w:type="dxa" w:w="100"/>
              <w:bottom w:type="dxa" w:w="70"/>
              <w:right w:type="dxa" w:w="100"/>
            </w:tcMar>
            <w:vAlign w:val="top"/>
          </w:tcPr>
          <w:p>
            <w:pPr>
              <w:spacing w:after="0" w:before="0" w:line="252"/>
            </w:pPr>
          </w:p>
        </w:tc>
        <w:tc>
          <w:tcPr>
            <w:tcW w:type="dxa" w:w="1950"/>
            <w:shd w:fill="F2F4F6" w:color="auto" w:val="clear"/>
            <w:tcMar>
              <w:top w:type="dxa" w:w="70"/>
              <w:left w:type="dxa" w:w="100"/>
              <w:bottom w:type="dxa" w:w="70"/>
              <w:right w:type="dxa" w:w="100"/>
            </w:tcMar>
            <w:vAlign w:val="top"/>
          </w:tcPr>
          <w:p>
            <w:pPr>
              <w:spacing w:after="0" w:before="0" w:line="252"/>
            </w:pPr>
          </w:p>
        </w:tc>
      </w:tr>
      <w:tr>
        <w:trPr>
          <w:cantSplit/>
        </w:trPr>
        <w:tc>
          <w:tcPr>
            <w:tcW w:type="dxa" w:w="3411"/>
            <w:shd w:fill="FFFFFF" w:color="auto" w:val="clear"/>
            <w:tcMar>
              <w:top w:type="dxa" w:w="70"/>
              <w:left w:type="dxa" w:w="100"/>
              <w:bottom w:type="dxa" w:w="70"/>
              <w:right w:type="dxa" w:w="100"/>
            </w:tcMar>
            <w:vAlign w:val="top"/>
          </w:tcPr>
          <w:p>
            <w:pPr>
              <w:spacing w:after="0" w:before="0" w:line="252"/>
            </w:pPr>
          </w:p>
        </w:tc>
        <w:tc>
          <w:tcPr>
            <w:tcW w:type="dxa" w:w="4385"/>
            <w:shd w:fill="FFFFFF" w:color="auto" w:val="clear"/>
            <w:tcMar>
              <w:top w:type="dxa" w:w="70"/>
              <w:left w:type="dxa" w:w="100"/>
              <w:bottom w:type="dxa" w:w="70"/>
              <w:right w:type="dxa" w:w="100"/>
            </w:tcMar>
            <w:vAlign w:val="top"/>
          </w:tcPr>
          <w:p>
            <w:pPr>
              <w:spacing w:after="0" w:before="0" w:line="252"/>
            </w:pPr>
          </w:p>
        </w:tc>
        <w:tc>
          <w:tcPr>
            <w:tcW w:type="dxa" w:w="1950"/>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Other tests</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3"/>
        <w:gridCol w:w="4873"/>
      </w:tblGrid>
      <w:tr>
        <w:trPr>
          <w:cantSplit/>
          <w:tblHeader/>
        </w:trPr>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Question</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Answer and evidence</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How is accuracy maintained and an inaccuracy corrected?</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Why is each retention period the shortest that meets the purpose? Legal obligation relied on?</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Where is the notice to individuals, and does it cover every purpose and recipient?</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How is each right under the applicable data protection law fulfilled for this processing?</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Can the system locate, export, correct and delete one individual's data? Tested on what date?</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Are all processors bound by contracts with the required terms? References.</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What prevents use of the data for purposes not assessed?</w:t>
            </w:r>
          </w:p>
        </w:tc>
        <w:tc>
          <w:tcPr>
            <w:tcW w:type="dxa" w:w="4873"/>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49" w:id="1"/>
      <w:r>
        <w:t xml:space="preserve">Appendix D.  Consultation record</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754"/>
        <w:gridCol w:w="974"/>
        <w:gridCol w:w="1364"/>
        <w:gridCol w:w="2339"/>
        <w:gridCol w:w="2144"/>
        <w:gridCol w:w="1171"/>
      </w:tblGrid>
      <w:tr>
        <w:trPr>
          <w:cantSplit/>
          <w:tblHeader/>
        </w:trPr>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Party consulted</w:t>
            </w:r>
          </w:p>
        </w:tc>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Method</w:t>
            </w:r>
          </w:p>
        </w:tc>
        <w:tc>
          <w:tcPr>
            <w:tcW w:type="dxa" w:w="233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Views or advice received</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How reflected, or why not</w:t>
            </w:r>
          </w:p>
        </w:tc>
        <w:tc>
          <w:tcPr>
            <w:tcW w:type="dxa" w:w="1171"/>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Risk IDs affected</w:t>
            </w:r>
          </w:p>
        </w:tc>
      </w:tr>
      <w:tr>
        <w:trPr>
          <w:cantSplit/>
        </w:trPr>
        <w:tc>
          <w:tcPr>
            <w:tcW w:type="dxa" w:w="1754"/>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171"/>
            <w:shd w:fill="FFFFFF" w:color="auto" w:val="clear"/>
            <w:tcMar>
              <w:top w:type="dxa" w:w="70"/>
              <w:left w:type="dxa" w:w="100"/>
              <w:bottom w:type="dxa" w:w="70"/>
              <w:right w:type="dxa" w:w="100"/>
            </w:tcMar>
            <w:vAlign w:val="top"/>
          </w:tcPr>
          <w:p>
            <w:pPr>
              <w:spacing w:after="0" w:before="0" w:line="252"/>
            </w:pPr>
          </w:p>
        </w:tc>
      </w:tr>
      <w:tr>
        <w:trPr>
          <w:cantSplit/>
        </w:trPr>
        <w:tc>
          <w:tcPr>
            <w:tcW w:type="dxa" w:w="1754"/>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171"/>
            <w:shd w:fill="F2F4F6" w:color="auto" w:val="clear"/>
            <w:tcMar>
              <w:top w:type="dxa" w:w="70"/>
              <w:left w:type="dxa" w:w="100"/>
              <w:bottom w:type="dxa" w:w="70"/>
              <w:right w:type="dxa" w:w="100"/>
            </w:tcMar>
            <w:vAlign w:val="top"/>
          </w:tcPr>
          <w:p>
            <w:pPr>
              <w:spacing w:after="0" w:before="0" w:line="252"/>
            </w:pPr>
          </w:p>
        </w:tc>
      </w:tr>
      <w:tr>
        <w:trPr>
          <w:cantSplit/>
        </w:trPr>
        <w:tc>
          <w:tcPr>
            <w:tcW w:type="dxa" w:w="1754"/>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171"/>
            <w:shd w:fill="FFFFFF" w:color="auto" w:val="clear"/>
            <w:tcMar>
              <w:top w:type="dxa" w:w="70"/>
              <w:left w:type="dxa" w:w="100"/>
              <w:bottom w:type="dxa" w:w="70"/>
              <w:right w:type="dxa" w:w="100"/>
            </w:tcMar>
            <w:vAlign w:val="top"/>
          </w:tcPr>
          <w:p>
            <w:pPr>
              <w:spacing w:after="0" w:before="0" w:line="252"/>
            </w:pPr>
          </w:p>
        </w:tc>
      </w:tr>
      <w:tr>
        <w:trPr>
          <w:cantSplit/>
        </w:trPr>
        <w:tc>
          <w:tcPr>
            <w:tcW w:type="dxa" w:w="1754"/>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171"/>
            <w:shd w:fill="F2F4F6" w:color="auto" w:val="clear"/>
            <w:tcMar>
              <w:top w:type="dxa" w:w="70"/>
              <w:left w:type="dxa" w:w="100"/>
              <w:bottom w:type="dxa" w:w="70"/>
              <w:right w:type="dxa" w:w="100"/>
            </w:tcMar>
            <w:vAlign w:val="top"/>
          </w:tcPr>
          <w:p>
            <w:pPr>
              <w:spacing w:after="0" w:before="0" w:line="252"/>
            </w:pPr>
          </w:p>
        </w:tc>
      </w:tr>
      <w:tr>
        <w:trPr>
          <w:cantSplit/>
        </w:trPr>
        <w:tc>
          <w:tcPr>
            <w:tcW w:type="dxa" w:w="1754"/>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171"/>
            <w:shd w:fill="FFFFFF" w:color="auto" w:val="clear"/>
            <w:tcMar>
              <w:top w:type="dxa" w:w="70"/>
              <w:left w:type="dxa" w:w="100"/>
              <w:bottom w:type="dxa" w:w="70"/>
              <w:right w:type="dxa" w:w="100"/>
            </w:tcMar>
            <w:vAlign w:val="top"/>
          </w:tcPr>
          <w:p>
            <w:pPr>
              <w:spacing w:after="0" w:before="0" w:line="252"/>
            </w:pPr>
          </w:p>
        </w:tc>
      </w:tr>
      <w:tr>
        <w:trPr>
          <w:cantSplit/>
        </w:trPr>
        <w:tc>
          <w:tcPr>
            <w:tcW w:type="dxa" w:w="1754"/>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339"/>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171"/>
            <w:shd w:fill="F2F4F6" w:color="auto" w:val="clear"/>
            <w:tcMar>
              <w:top w:type="dxa" w:w="70"/>
              <w:left w:type="dxa" w:w="100"/>
              <w:bottom w:type="dxa" w:w="70"/>
              <w:right w:type="dxa" w:w="100"/>
            </w:tcMar>
            <w:vAlign w:val="top"/>
          </w:tcPr>
          <w:p>
            <w:pPr>
              <w:spacing w:after="0" w:before="0" w:line="252"/>
            </w:pPr>
          </w:p>
        </w:tc>
      </w:tr>
      <w:tr>
        <w:trPr>
          <w:cantSplit/>
        </w:trPr>
        <w:tc>
          <w:tcPr>
            <w:tcW w:type="dxa" w:w="1754"/>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339"/>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171"/>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3"/>
        <w:gridCol w:w="4873"/>
      </w:tblGrid>
      <w:tr>
        <w:trPr>
          <w:cantSplit/>
          <w:tblHeader/>
        </w:trPr>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Were data subjects or their representatives consulted? If not, why not?</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Where the organization proceeds contrary to their views, the reason</w:t>
            </w:r>
          </w:p>
        </w:tc>
        <w:tc>
          <w:tcPr>
            <w:tcW w:type="dxa" w:w="4873"/>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0" w:id="1"/>
      <w:r>
        <w:t xml:space="preserve">Appendix E.  Risk register</w:t>
      </w:r>
      <w:bookmarkEnd w:id="1"/>
    </w:p>
    <w:p>
      <w:pPr>
        <w:spacing w:after="130" w:line="262"/>
      </w:pPr>
      <w:r>
        <w:t xml:space="preserve">One row per risk. L is likelihood and S is severity, each scored 1 to 4 under Section 9. Ratings are Low, Medium or High from the matrix. The table is split into two parts so that each fits the page; both parts share the risk ID.</w:t>
      </w:r>
    </w:p>
    <w:p>
      <w:pPr>
        <w:keepNext/>
        <w:spacing w:after="70" w:before="180"/>
      </w:pPr>
      <w:r>
        <w:rPr>
          <w:b/>
          <w:bCs/>
          <w:color w:val="15314B"/>
          <w:sz w:val="19"/>
          <w:szCs w:val="19"/>
        </w:rPr>
        <w:t xml:space="preserve">Part 1: risk and inherent rating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
        <w:gridCol w:w="2533"/>
        <w:gridCol w:w="1364"/>
        <w:gridCol w:w="2533"/>
        <w:gridCol w:w="1169"/>
        <w:gridCol w:w="1173"/>
      </w:tblGrid>
      <w:tr>
        <w:trPr>
          <w:cantSplit/>
          <w:tblHeader/>
        </w:trPr>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Risk ID</w:t>
            </w:r>
          </w:p>
        </w:tc>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Risk (event)</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Source</w:t>
            </w:r>
          </w:p>
        </w:tc>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Impact on individuals</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Inherent L x S</w:t>
            </w:r>
          </w:p>
        </w:tc>
        <w:tc>
          <w:tcPr>
            <w:tcW w:type="dxa" w:w="11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Inherent rating</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2533"/>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533"/>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173"/>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2533"/>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533"/>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173"/>
            <w:shd w:fill="F2F4F6" w:color="auto" w:val="clear"/>
            <w:tcMar>
              <w:top w:type="dxa" w:w="70"/>
              <w:left w:type="dxa" w:w="100"/>
              <w:bottom w:type="dxa" w:w="70"/>
              <w:right w:type="dxa" w:w="100"/>
            </w:tcMar>
            <w:vAlign w:val="top"/>
          </w:tcPr>
          <w:p>
            <w:pPr>
              <w:spacing w:after="0" w:before="0" w:line="252"/>
            </w:pP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2533"/>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533"/>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173"/>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2533"/>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533"/>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173"/>
            <w:shd w:fill="F2F4F6" w:color="auto" w:val="clear"/>
            <w:tcMar>
              <w:top w:type="dxa" w:w="70"/>
              <w:left w:type="dxa" w:w="100"/>
              <w:bottom w:type="dxa" w:w="70"/>
              <w:right w:type="dxa" w:w="100"/>
            </w:tcMar>
            <w:vAlign w:val="top"/>
          </w:tcPr>
          <w:p>
            <w:pPr>
              <w:spacing w:after="0" w:before="0" w:line="252"/>
            </w:pP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2533"/>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533"/>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173"/>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2533"/>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533"/>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173"/>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Part 2: controls and residual rating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
        <w:gridCol w:w="3313"/>
        <w:gridCol w:w="974"/>
        <w:gridCol w:w="974"/>
        <w:gridCol w:w="2144"/>
        <w:gridCol w:w="1367"/>
      </w:tblGrid>
      <w:tr>
        <w:trPr>
          <w:cantSplit/>
          <w:tblHeader/>
        </w:trPr>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Risk ID</w:t>
            </w:r>
          </w:p>
        </w:tc>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Controls (status, evidence reference)</w:t>
            </w:r>
          </w:p>
        </w:tc>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Residual L</w:t>
            </w:r>
          </w:p>
        </w:tc>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Residual S</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Residual rating and reason</w:t>
            </w:r>
          </w:p>
        </w:tc>
        <w:tc>
          <w:tcPr>
            <w:tcW w:type="dxa" w:w="13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3313"/>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367"/>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3313"/>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367"/>
            <w:shd w:fill="F2F4F6" w:color="auto" w:val="clear"/>
            <w:tcMar>
              <w:top w:type="dxa" w:w="70"/>
              <w:left w:type="dxa" w:w="100"/>
              <w:bottom w:type="dxa" w:w="70"/>
              <w:right w:type="dxa" w:w="100"/>
            </w:tcMar>
            <w:vAlign w:val="top"/>
          </w:tcPr>
          <w:p>
            <w:pPr>
              <w:spacing w:after="0" w:before="0" w:line="252"/>
            </w:pP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3313"/>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367"/>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3313"/>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367"/>
            <w:shd w:fill="F2F4F6" w:color="auto" w:val="clear"/>
            <w:tcMar>
              <w:top w:type="dxa" w:w="70"/>
              <w:left w:type="dxa" w:w="100"/>
              <w:bottom w:type="dxa" w:w="70"/>
              <w:right w:type="dxa" w:w="100"/>
            </w:tcMar>
            <w:vAlign w:val="top"/>
          </w:tcPr>
          <w:p>
            <w:pPr>
              <w:spacing w:after="0" w:before="0" w:line="252"/>
            </w:pP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3313"/>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974"/>
            <w:shd w:fill="FFFFFF" w:color="auto" w:val="clear"/>
            <w:tcMar>
              <w:top w:type="dxa" w:w="70"/>
              <w:left w:type="dxa" w:w="100"/>
              <w:bottom w:type="dxa" w:w="70"/>
              <w:right w:type="dxa" w:w="100"/>
            </w:tcMar>
            <w:vAlign w:val="top"/>
          </w:tcPr>
          <w:p>
            <w:pPr>
              <w:spacing w:after="0" w:before="0" w:line="252"/>
            </w:pPr>
          </w:p>
        </w:tc>
        <w:tc>
          <w:tcPr>
            <w:tcW w:type="dxa" w:w="2144"/>
            <w:shd w:fill="FFFFFF" w:color="auto" w:val="clear"/>
            <w:tcMar>
              <w:top w:type="dxa" w:w="70"/>
              <w:left w:type="dxa" w:w="100"/>
              <w:bottom w:type="dxa" w:w="70"/>
              <w:right w:type="dxa" w:w="100"/>
            </w:tcMar>
            <w:vAlign w:val="top"/>
          </w:tcPr>
          <w:p>
            <w:pPr>
              <w:spacing w:after="0" w:before="0" w:line="252"/>
            </w:pPr>
          </w:p>
        </w:tc>
        <w:tc>
          <w:tcPr>
            <w:tcW w:type="dxa" w:w="1367"/>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3313"/>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974"/>
            <w:shd w:fill="F2F4F6" w:color="auto" w:val="clear"/>
            <w:tcMar>
              <w:top w:type="dxa" w:w="70"/>
              <w:left w:type="dxa" w:w="100"/>
              <w:bottom w:type="dxa" w:w="70"/>
              <w:right w:type="dxa" w:w="100"/>
            </w:tcMar>
            <w:vAlign w:val="top"/>
          </w:tcPr>
          <w:p>
            <w:pPr>
              <w:spacing w:after="0" w:before="0" w:line="252"/>
            </w:pPr>
          </w:p>
        </w:tc>
        <w:tc>
          <w:tcPr>
            <w:tcW w:type="dxa" w:w="2144"/>
            <w:shd w:fill="F2F4F6" w:color="auto" w:val="clear"/>
            <w:tcMar>
              <w:top w:type="dxa" w:w="70"/>
              <w:left w:type="dxa" w:w="100"/>
              <w:bottom w:type="dxa" w:w="70"/>
              <w:right w:type="dxa" w:w="100"/>
            </w:tcMar>
            <w:vAlign w:val="top"/>
          </w:tcPr>
          <w:p>
            <w:pPr>
              <w:spacing w:after="0" w:before="0" w:line="252"/>
            </w:pPr>
          </w:p>
        </w:tc>
        <w:tc>
          <w:tcPr>
            <w:tcW w:type="dxa" w:w="1367"/>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1" w:id="1"/>
      <w:r>
        <w:t xml:space="preserve">Appendix F.  Action plan</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
        <w:gridCol w:w="3118"/>
        <w:gridCol w:w="1169"/>
        <w:gridCol w:w="1559"/>
        <w:gridCol w:w="1169"/>
        <w:gridCol w:w="1757"/>
      </w:tblGrid>
      <w:tr>
        <w:trPr>
          <w:cantSplit/>
          <w:tblHeader/>
        </w:trPr>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 ID</w:t>
            </w:r>
          </w:p>
        </w:tc>
        <w:tc>
          <w:tcPr>
            <w:tcW w:type="dxa" w:w="311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Action and risk IDs addressed</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Condition of go-live (Y/N)</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Due date</w:t>
            </w:r>
          </w:p>
        </w:tc>
        <w:tc>
          <w:tcPr>
            <w:tcW w:type="dxa" w:w="175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Closure evidence and date</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3118"/>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3118"/>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3118"/>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3118"/>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3118"/>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3118"/>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r>
        <w:trPr>
          <w:cantSplit/>
        </w:trPr>
        <w:tc>
          <w:tcPr>
            <w:tcW w:type="dxa" w:w="974"/>
            <w:shd w:fill="FFFFFF" w:color="auto" w:val="clear"/>
            <w:tcMar>
              <w:top w:type="dxa" w:w="70"/>
              <w:left w:type="dxa" w:w="100"/>
              <w:bottom w:type="dxa" w:w="70"/>
              <w:right w:type="dxa" w:w="100"/>
            </w:tcMar>
            <w:vAlign w:val="top"/>
          </w:tcPr>
          <w:p>
            <w:pPr>
              <w:spacing w:after="0" w:before="0" w:line="252"/>
            </w:pPr>
          </w:p>
        </w:tc>
        <w:tc>
          <w:tcPr>
            <w:tcW w:type="dxa" w:w="3118"/>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974"/>
            <w:shd w:fill="F2F4F6" w:color="auto" w:val="clear"/>
            <w:tcMar>
              <w:top w:type="dxa" w:w="70"/>
              <w:left w:type="dxa" w:w="100"/>
              <w:bottom w:type="dxa" w:w="70"/>
              <w:right w:type="dxa" w:w="100"/>
            </w:tcMar>
            <w:vAlign w:val="top"/>
          </w:tcPr>
          <w:p>
            <w:pPr>
              <w:spacing w:after="0" w:before="0" w:line="252"/>
            </w:pPr>
          </w:p>
        </w:tc>
        <w:tc>
          <w:tcPr>
            <w:tcW w:type="dxa" w:w="3118"/>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2" w:id="1"/>
      <w:r>
        <w:t xml:space="preserve">Appendix G.  Sign-off and acceptance record</w:t>
      </w:r>
      <w:bookmarkEnd w:id="1"/>
    </w:p>
    <w:p>
      <w:pPr>
        <w:keepNext/>
        <w:spacing w:after="70" w:before="180"/>
      </w:pPr>
      <w:r>
        <w:rPr>
          <w:b/>
          <w:bCs/>
          <w:color w:val="15314B"/>
          <w:sz w:val="19"/>
          <w:szCs w:val="19"/>
        </w:rPr>
        <w:t xml:space="preserve">Advice of the DPO or privacy lead</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3"/>
        <w:gridCol w:w="4873"/>
      </w:tblGrid>
      <w:tr>
        <w:trPr>
          <w:cantSplit/>
          <w:tblHeader/>
        </w:trPr>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Advice, in the adviser's own words, on whether the processing complies and can proceed</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Adviser</w:t>
            </w:r>
          </w:p>
        </w:tc>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Date</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Was the advice followed? If not, the decision and reasons</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Signed by senior accountable owner where advice not followed</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r>
    </w:tbl>
    <w:p>
      <w:pPr>
        <w:spacing w:after="120" w:line="120"/>
      </w:pPr>
      <w:r>
        <w:rPr>
          <w:sz w:val="4"/>
          <w:szCs w:val="4"/>
        </w:rPr>
        <w:t xml:space="preserve"/>
      </w:r>
    </w:p>
    <w:p>
      <w:pPr>
        <w:keepNext/>
        <w:spacing w:after="70" w:before="180"/>
      </w:pPr>
      <w:r>
        <w:rPr>
          <w:b/>
          <w:bCs/>
          <w:color w:val="15314B"/>
          <w:sz w:val="19"/>
          <w:szCs w:val="19"/>
        </w:rPr>
        <w:t xml:space="preserve">Acceptance of each residual risk</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169"/>
        <w:gridCol w:w="1364"/>
        <w:gridCol w:w="2728"/>
        <w:gridCol w:w="1559"/>
        <w:gridCol w:w="1169"/>
        <w:gridCol w:w="1757"/>
      </w:tblGrid>
      <w:tr>
        <w:trPr>
          <w:cantSplit/>
          <w:tblHeader/>
        </w:trPr>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Risk ID</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Residual rating</w:t>
            </w:r>
          </w:p>
        </w:tc>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Accepted by (name and role)</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Authority level met (Y/N)</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c>
          <w:tcPr>
            <w:tcW w:type="dxa" w:w="175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Signature</w:t>
            </w: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keepNext/>
        <w:spacing w:after="70" w:before="180"/>
      </w:pPr>
      <w:r>
        <w:rPr>
          <w:b/>
          <w:bCs/>
          <w:color w:val="15314B"/>
          <w:sz w:val="19"/>
          <w:szCs w:val="19"/>
        </w:rPr>
        <w:t xml:space="preserve">Outcome</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4873"/>
        <w:gridCol w:w="4873"/>
      </w:tblGrid>
      <w:tr>
        <w:trPr>
          <w:cantSplit/>
          <w:tblHeader/>
        </w:trPr>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Field</w:t>
            </w:r>
          </w:p>
        </w:tc>
        <w:tc>
          <w:tcPr>
            <w:tcW w:type="dxa" w:w="48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Entry</w:t>
            </w: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Outcome: proceed, proceed with conditions, do not proceed pending consultation, do not proceed</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Prior consultation decision and reasons, where any residual risk is High</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Conditions of go-live confirmed met (date and confirming person)</w:t>
            </w:r>
          </w:p>
        </w:tc>
        <w:tc>
          <w:tcPr>
            <w:tcW w:type="dxa" w:w="4873"/>
            <w:shd w:fill="FFFFFF" w:color="auto" w:val="clear"/>
            <w:tcMar>
              <w:top w:type="dxa" w:w="70"/>
              <w:left w:type="dxa" w:w="100"/>
              <w:bottom w:type="dxa" w:w="70"/>
              <w:right w:type="dxa" w:w="100"/>
            </w:tcMar>
            <w:vAlign w:val="top"/>
          </w:tcPr>
          <w:p>
            <w:pPr>
              <w:spacing w:after="0" w:before="0" w:line="252"/>
            </w:pP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Where the processing was already live when assessed: delay and reason</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Senior accountable owner</w:t>
            </w:r>
          </w:p>
        </w:tc>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[Name]</w:t>
            </w:r>
          </w:p>
        </w:tc>
      </w:tr>
      <w:tr>
        <w:trPr>
          <w:cantSplit/>
        </w:trPr>
        <w:tc>
          <w:tcPr>
            <w:tcW w:type="dxa" w:w="4873"/>
            <w:shd w:fill="F2F4F6" w:color="auto" w:val="clear"/>
            <w:tcMar>
              <w:top w:type="dxa" w:w="70"/>
              <w:left w:type="dxa" w:w="100"/>
              <w:bottom w:type="dxa" w:w="70"/>
              <w:right w:type="dxa" w:w="100"/>
            </w:tcMar>
            <w:vAlign w:val="top"/>
          </w:tcPr>
          <w:p>
            <w:pPr>
              <w:spacing w:after="0" w:before="0" w:line="252"/>
            </w:pPr>
            <w:r>
              <w:rPr>
                <w:sz w:val="17"/>
                <w:szCs w:val="17"/>
              </w:rPr>
              <w:t xml:space="preserve">Date</w:t>
            </w:r>
          </w:p>
        </w:tc>
        <w:tc>
          <w:tcPr>
            <w:tcW w:type="dxa" w:w="4873"/>
            <w:shd w:fill="F2F4F6" w:color="auto" w:val="clear"/>
            <w:tcMar>
              <w:top w:type="dxa" w:w="70"/>
              <w:left w:type="dxa" w:w="100"/>
              <w:bottom w:type="dxa" w:w="70"/>
              <w:right w:type="dxa" w:w="100"/>
            </w:tcMar>
            <w:vAlign w:val="top"/>
          </w:tcPr>
          <w:p>
            <w:pPr>
              <w:spacing w:after="0" w:before="0" w:line="252"/>
            </w:pPr>
          </w:p>
        </w:tc>
      </w:tr>
      <w:tr>
        <w:trPr>
          <w:cantSplit/>
        </w:trPr>
        <w:tc>
          <w:tcPr>
            <w:tcW w:type="dxa" w:w="4873"/>
            <w:shd w:fill="FFFFFF" w:color="auto" w:val="clear"/>
            <w:tcMar>
              <w:top w:type="dxa" w:w="70"/>
              <w:left w:type="dxa" w:w="100"/>
              <w:bottom w:type="dxa" w:w="70"/>
              <w:right w:type="dxa" w:w="100"/>
            </w:tcMar>
            <w:vAlign w:val="top"/>
          </w:tcPr>
          <w:p>
            <w:pPr>
              <w:spacing w:after="0" w:before="0" w:line="252"/>
            </w:pPr>
            <w:r>
              <w:rPr>
                <w:sz w:val="17"/>
                <w:szCs w:val="17"/>
              </w:rPr>
              <w:t xml:space="preserve">Next scheduled review</w:t>
            </w:r>
          </w:p>
        </w:tc>
        <w:tc>
          <w:tcPr>
            <w:tcW w:type="dxa" w:w="4873"/>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3" w:id="1"/>
      <w:r>
        <w:t xml:space="preserve">Appendix H.  Review log</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169"/>
        <w:gridCol w:w="1559"/>
        <w:gridCol w:w="2728"/>
        <w:gridCol w:w="1364"/>
        <w:gridCol w:w="1169"/>
        <w:gridCol w:w="1757"/>
      </w:tblGrid>
      <w:tr>
        <w:trPr>
          <w:cantSplit/>
          <w:tblHeader/>
        </w:trPr>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c>
          <w:tcPr>
            <w:tcW w:type="dxa" w:w="155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Trigger or scheduled</w:t>
            </w:r>
          </w:p>
        </w:tc>
        <w:tc>
          <w:tcPr>
            <w:tcW w:type="dxa" w:w="2728"/>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What changed</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Risks re-rated (IDs)</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Version produced</w:t>
            </w:r>
          </w:p>
        </w:tc>
        <w:tc>
          <w:tcPr>
            <w:tcW w:type="dxa" w:w="175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Reviewed by</w:t>
            </w: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r>
        <w:trPr>
          <w:cantSplit/>
        </w:trPr>
        <w:tc>
          <w:tcPr>
            <w:tcW w:type="dxa" w:w="1169"/>
            <w:shd w:fill="FFFFFF" w:color="auto" w:val="clear"/>
            <w:tcMar>
              <w:top w:type="dxa" w:w="70"/>
              <w:left w:type="dxa" w:w="100"/>
              <w:bottom w:type="dxa" w:w="70"/>
              <w:right w:type="dxa" w:w="100"/>
            </w:tcMar>
            <w:vAlign w:val="top"/>
          </w:tcPr>
          <w:p>
            <w:pPr>
              <w:spacing w:after="0" w:before="0" w:line="252"/>
            </w:pPr>
          </w:p>
        </w:tc>
        <w:tc>
          <w:tcPr>
            <w:tcW w:type="dxa" w:w="1559"/>
            <w:shd w:fill="FFFFFF" w:color="auto" w:val="clear"/>
            <w:tcMar>
              <w:top w:type="dxa" w:w="70"/>
              <w:left w:type="dxa" w:w="100"/>
              <w:bottom w:type="dxa" w:w="70"/>
              <w:right w:type="dxa" w:w="100"/>
            </w:tcMar>
            <w:vAlign w:val="top"/>
          </w:tcPr>
          <w:p>
            <w:pPr>
              <w:spacing w:after="0" w:before="0" w:line="252"/>
            </w:pPr>
          </w:p>
        </w:tc>
        <w:tc>
          <w:tcPr>
            <w:tcW w:type="dxa" w:w="2728"/>
            <w:shd w:fill="FFFFFF" w:color="auto" w:val="clear"/>
            <w:tcMar>
              <w:top w:type="dxa" w:w="70"/>
              <w:left w:type="dxa" w:w="100"/>
              <w:bottom w:type="dxa" w:w="70"/>
              <w:right w:type="dxa" w:w="100"/>
            </w:tcMar>
            <w:vAlign w:val="top"/>
          </w:tcPr>
          <w:p>
            <w:pPr>
              <w:spacing w:after="0" w:before="0" w:line="252"/>
            </w:pPr>
          </w:p>
        </w:tc>
        <w:tc>
          <w:tcPr>
            <w:tcW w:type="dxa" w:w="1364"/>
            <w:shd w:fill="FFFFFF" w:color="auto" w:val="clear"/>
            <w:tcMar>
              <w:top w:type="dxa" w:w="70"/>
              <w:left w:type="dxa" w:w="100"/>
              <w:bottom w:type="dxa" w:w="70"/>
              <w:right w:type="dxa" w:w="100"/>
            </w:tcMar>
            <w:vAlign w:val="top"/>
          </w:tcPr>
          <w:p>
            <w:pPr>
              <w:spacing w:after="0" w:before="0" w:line="252"/>
            </w:pPr>
          </w:p>
        </w:tc>
        <w:tc>
          <w:tcPr>
            <w:tcW w:type="dxa" w:w="1169"/>
            <w:shd w:fill="FFFFFF" w:color="auto" w:val="clear"/>
            <w:tcMar>
              <w:top w:type="dxa" w:w="70"/>
              <w:left w:type="dxa" w:w="100"/>
              <w:bottom w:type="dxa" w:w="70"/>
              <w:right w:type="dxa" w:w="100"/>
            </w:tcMar>
            <w:vAlign w:val="top"/>
          </w:tcPr>
          <w:p>
            <w:pPr>
              <w:spacing w:after="0" w:before="0" w:line="252"/>
            </w:pPr>
          </w:p>
        </w:tc>
        <w:tc>
          <w:tcPr>
            <w:tcW w:type="dxa" w:w="1757"/>
            <w:shd w:fill="FFFFFF" w:color="auto" w:val="clear"/>
            <w:tcMar>
              <w:top w:type="dxa" w:w="70"/>
              <w:left w:type="dxa" w:w="100"/>
              <w:bottom w:type="dxa" w:w="70"/>
              <w:right w:type="dxa" w:w="100"/>
            </w:tcMar>
            <w:vAlign w:val="top"/>
          </w:tcPr>
          <w:p>
            <w:pPr>
              <w:spacing w:after="0" w:before="0" w:line="252"/>
            </w:pPr>
          </w:p>
        </w:tc>
      </w:tr>
      <w:tr>
        <w:trPr>
          <w:cantSplit/>
        </w:trPr>
        <w:tc>
          <w:tcPr>
            <w:tcW w:type="dxa" w:w="1169"/>
            <w:shd w:fill="F2F4F6" w:color="auto" w:val="clear"/>
            <w:tcMar>
              <w:top w:type="dxa" w:w="70"/>
              <w:left w:type="dxa" w:w="100"/>
              <w:bottom w:type="dxa" w:w="70"/>
              <w:right w:type="dxa" w:w="100"/>
            </w:tcMar>
            <w:vAlign w:val="top"/>
          </w:tcPr>
          <w:p>
            <w:pPr>
              <w:spacing w:after="0" w:before="0" w:line="252"/>
            </w:pPr>
          </w:p>
        </w:tc>
        <w:tc>
          <w:tcPr>
            <w:tcW w:type="dxa" w:w="1559"/>
            <w:shd w:fill="F2F4F6" w:color="auto" w:val="clear"/>
            <w:tcMar>
              <w:top w:type="dxa" w:w="70"/>
              <w:left w:type="dxa" w:w="100"/>
              <w:bottom w:type="dxa" w:w="70"/>
              <w:right w:type="dxa" w:w="100"/>
            </w:tcMar>
            <w:vAlign w:val="top"/>
          </w:tcPr>
          <w:p>
            <w:pPr>
              <w:spacing w:after="0" w:before="0" w:line="252"/>
            </w:pPr>
          </w:p>
        </w:tc>
        <w:tc>
          <w:tcPr>
            <w:tcW w:type="dxa" w:w="2728"/>
            <w:shd w:fill="F2F4F6" w:color="auto" w:val="clear"/>
            <w:tcMar>
              <w:top w:type="dxa" w:w="70"/>
              <w:left w:type="dxa" w:w="100"/>
              <w:bottom w:type="dxa" w:w="70"/>
              <w:right w:type="dxa" w:w="100"/>
            </w:tcMar>
            <w:vAlign w:val="top"/>
          </w:tcPr>
          <w:p>
            <w:pPr>
              <w:spacing w:after="0" w:before="0" w:line="252"/>
            </w:pPr>
          </w:p>
        </w:tc>
        <w:tc>
          <w:tcPr>
            <w:tcW w:type="dxa" w:w="1364"/>
            <w:shd w:fill="F2F4F6" w:color="auto" w:val="clear"/>
            <w:tcMar>
              <w:top w:type="dxa" w:w="70"/>
              <w:left w:type="dxa" w:w="100"/>
              <w:bottom w:type="dxa" w:w="70"/>
              <w:right w:type="dxa" w:w="100"/>
            </w:tcMar>
            <w:vAlign w:val="top"/>
          </w:tcPr>
          <w:p>
            <w:pPr>
              <w:spacing w:after="0" w:before="0" w:line="252"/>
            </w:pPr>
          </w:p>
        </w:tc>
        <w:tc>
          <w:tcPr>
            <w:tcW w:type="dxa" w:w="1169"/>
            <w:shd w:fill="F2F4F6" w:color="auto" w:val="clear"/>
            <w:tcMar>
              <w:top w:type="dxa" w:w="70"/>
              <w:left w:type="dxa" w:w="100"/>
              <w:bottom w:type="dxa" w:w="70"/>
              <w:right w:type="dxa" w:w="100"/>
            </w:tcMar>
            <w:vAlign w:val="top"/>
          </w:tcPr>
          <w:p>
            <w:pPr>
              <w:spacing w:after="0" w:before="0" w:line="252"/>
            </w:pPr>
          </w:p>
        </w:tc>
        <w:tc>
          <w:tcPr>
            <w:tcW w:type="dxa" w:w="1757"/>
            <w:shd w:fill="F2F4F6"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p>
      <w:pPr>
        <w:spacing w:after="60" w:line="120"/>
      </w:pPr>
      <w:r>
        <w:rPr>
          <w:sz w:val="4"/>
          <w:szCs w:val="4"/>
        </w:rPr>
        <w:t xml:space="preserve"/>
      </w:r>
    </w:p>
    <w:p>
      <w:pPr>
        <w:pStyle w:val="Heading1"/>
        <w:keepNext/>
        <w:keepLines/>
        <w:pBdr>
          <w:bottom w:val="single" w:color="D4DAE0" w:sz="4" w:space="4"/>
        </w:pBdr>
        <w:spacing w:after="140" w:before="300"/>
      </w:pPr>
      <w:bookmarkStart w:name="_RG0054" w:id="1"/>
      <w:r>
        <w:t xml:space="preserve">Appendix I.  Guidance: worked example for a new HR system</w:t>
      </w:r>
      <w:bookmarkEnd w:id="1"/>
    </w:p>
    <w:p>
      <w:pPr>
        <w:spacing w:after="130" w:line="262"/>
      </w:pPr>
      <w:r>
        <w:t xml:space="preserve">This appendix is guidance. It shows how three rows of the risk register might be completed for a mid-size organization replacing spreadsheets and a legacy payroll interface with a cloud HR information system. The system will hold records for about 600 current employees and about 2,000 former employees and applicants, including bank details, national identification numbers, sickness absence records, disability adjustments and disciplinary records. The supplier is a processor hosting in a region outside the organization's own jurisdiction. Screening met criteria 2.4, 2.5 and 2.7 in Group 2, so a full assessment was required.</w:t>
      </w:r>
    </w:p>
    <w:p>
      <w:pPr>
        <w:spacing w:after="130" w:line="262"/>
      </w:pPr>
      <w:r>
        <w:t xml:space="preserve">The ratings below are illustrative and depend on facts the reader must establish for their own processing.</w:t>
      </w:r>
    </w:p>
    <w:p>
      <w:pPr>
        <w:keepNext/>
        <w:spacing w:after="70" w:before="180"/>
      </w:pPr>
      <w:r>
        <w:rPr>
          <w:b/>
          <w:bCs/>
          <w:color w:val="15314B"/>
          <w:sz w:val="19"/>
          <w:szCs w:val="19"/>
        </w:rPr>
        <w:t xml:space="preserve">Part 1: risk and inherent rating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
        <w:gridCol w:w="2533"/>
        <w:gridCol w:w="1364"/>
        <w:gridCol w:w="2533"/>
        <w:gridCol w:w="1169"/>
        <w:gridCol w:w="1173"/>
      </w:tblGrid>
      <w:tr>
        <w:trPr>
          <w:cantSplit/>
          <w:tblHeader/>
        </w:trPr>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Risk ID</w:t>
            </w:r>
          </w:p>
        </w:tc>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Risk (event)</w:t>
            </w:r>
          </w:p>
        </w:tc>
        <w:tc>
          <w:tcPr>
            <w:tcW w:type="dxa" w:w="136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Source</w:t>
            </w:r>
          </w:p>
        </w:tc>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Impact on individuals</w:t>
            </w:r>
          </w:p>
        </w:tc>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Inherent L x S</w:t>
            </w:r>
          </w:p>
        </w:tc>
        <w:tc>
          <w:tcPr>
            <w:tcW w:type="dxa" w:w="117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Inherent rating</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HR-R01</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An unauthorized party obtains access to an HR administrator account and exports employee bank and identification details</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Illegitimate access</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Payments redirected; identity fraud; financial loss and lasting difficulty for employees</w:t>
            </w:r>
          </w:p>
        </w:tc>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3 x 3</w:t>
            </w:r>
          </w:p>
        </w:tc>
        <w:tc>
          <w:tcPr>
            <w:tcW w:type="dxa" w:w="1173"/>
            <w:shd w:fill="FFFFFF" w:color="auto" w:val="clear"/>
            <w:tcMar>
              <w:top w:type="dxa" w:w="70"/>
              <w:left w:type="dxa" w:w="100"/>
              <w:bottom w:type="dxa" w:w="70"/>
              <w:right w:type="dxa" w:w="100"/>
            </w:tcMar>
            <w:vAlign w:val="top"/>
          </w:tcPr>
          <w:p>
            <w:pPr>
              <w:spacing w:after="0" w:before="0" w:line="252"/>
            </w:pPr>
            <w:r>
              <w:rPr>
                <w:sz w:val="17"/>
                <w:szCs w:val="17"/>
              </w:rPr>
              <w:t xml:space="preserve">High (9)</w:t>
            </w:r>
          </w:p>
        </w:tc>
      </w:tr>
      <w:tr>
        <w:trPr>
          <w:cantSplit/>
        </w:trPr>
        <w:tc>
          <w:tcPr>
            <w:tcW w:type="dxa" w:w="974"/>
            <w:shd w:fill="F2F4F6" w:color="auto" w:val="clear"/>
            <w:tcMar>
              <w:top w:type="dxa" w:w="70"/>
              <w:left w:type="dxa" w:w="100"/>
              <w:bottom w:type="dxa" w:w="70"/>
              <w:right w:type="dxa" w:w="100"/>
            </w:tcMar>
            <w:vAlign w:val="top"/>
          </w:tcPr>
          <w:p>
            <w:pPr>
              <w:spacing w:after="0" w:before="0" w:line="252"/>
            </w:pPr>
            <w:r>
              <w:rPr>
                <w:sz w:val="17"/>
                <w:szCs w:val="17"/>
              </w:rPr>
              <w:t xml:space="preserve">HR-R02</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Managers can see sickness and disability adjustment records for staff outside their own team because the default role grants organization-wide read access</w:t>
            </w:r>
          </w:p>
        </w:tc>
        <w:tc>
          <w:tcPr>
            <w:tcW w:type="dxa" w:w="1364"/>
            <w:shd w:fill="F2F4F6" w:color="auto" w:val="clear"/>
            <w:tcMar>
              <w:top w:type="dxa" w:w="70"/>
              <w:left w:type="dxa" w:w="100"/>
              <w:bottom w:type="dxa" w:w="70"/>
              <w:right w:type="dxa" w:w="100"/>
            </w:tcMar>
            <w:vAlign w:val="top"/>
          </w:tcPr>
          <w:p>
            <w:pPr>
              <w:spacing w:after="0" w:before="0" w:line="252"/>
            </w:pPr>
            <w:r>
              <w:rPr>
                <w:sz w:val="17"/>
                <w:szCs w:val="17"/>
              </w:rPr>
              <w:t xml:space="preserve">The processing itself</w:t>
            </w:r>
          </w:p>
        </w:tc>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Loss of confidentiality of health data; risk of discrimination in promotion or allocation of work</w:t>
            </w:r>
          </w:p>
        </w:tc>
        <w:tc>
          <w:tcPr>
            <w:tcW w:type="dxa" w:w="1169"/>
            <w:shd w:fill="F2F4F6" w:color="auto" w:val="clear"/>
            <w:tcMar>
              <w:top w:type="dxa" w:w="70"/>
              <w:left w:type="dxa" w:w="100"/>
              <w:bottom w:type="dxa" w:w="70"/>
              <w:right w:type="dxa" w:w="100"/>
            </w:tcMar>
            <w:vAlign w:val="top"/>
          </w:tcPr>
          <w:p>
            <w:pPr>
              <w:spacing w:after="0" w:before="0" w:line="252"/>
            </w:pPr>
            <w:r>
              <w:rPr>
                <w:sz w:val="17"/>
                <w:szCs w:val="17"/>
              </w:rPr>
              <w:t xml:space="preserve">4 x 3</w:t>
            </w:r>
          </w:p>
        </w:tc>
        <w:tc>
          <w:tcPr>
            <w:tcW w:type="dxa" w:w="1173"/>
            <w:shd w:fill="F2F4F6" w:color="auto" w:val="clear"/>
            <w:tcMar>
              <w:top w:type="dxa" w:w="70"/>
              <w:left w:type="dxa" w:w="100"/>
              <w:bottom w:type="dxa" w:w="70"/>
              <w:right w:type="dxa" w:w="100"/>
            </w:tcMar>
            <w:vAlign w:val="top"/>
          </w:tcPr>
          <w:p>
            <w:pPr>
              <w:spacing w:after="0" w:before="0" w:line="252"/>
            </w:pPr>
            <w:r>
              <w:rPr>
                <w:sz w:val="17"/>
                <w:szCs w:val="17"/>
              </w:rPr>
              <w:t xml:space="preserve">High (12)</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HR-R03</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Records of former applicants and leavers are kept indefinitely because the legacy data is migrated in full and no retention rule is configured</w:t>
            </w:r>
          </w:p>
        </w:tc>
        <w:tc>
          <w:tcPr>
            <w:tcW w:type="dxa" w:w="1364"/>
            <w:shd w:fill="FFFFFF" w:color="auto" w:val="clear"/>
            <w:tcMar>
              <w:top w:type="dxa" w:w="70"/>
              <w:left w:type="dxa" w:w="100"/>
              <w:bottom w:type="dxa" w:w="70"/>
              <w:right w:type="dxa" w:w="100"/>
            </w:tcMar>
            <w:vAlign w:val="top"/>
          </w:tcPr>
          <w:p>
            <w:pPr>
              <w:spacing w:after="0" w:before="0" w:line="252"/>
            </w:pPr>
            <w:r>
              <w:rPr>
                <w:sz w:val="17"/>
                <w:szCs w:val="17"/>
              </w:rPr>
              <w:t xml:space="preserve">The processing itself</w:t>
            </w:r>
          </w:p>
        </w:tc>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Loss of control over data; increased exposure to any future breach for people with no current relationship with the organization</w:t>
            </w:r>
          </w:p>
        </w:tc>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4 x 2</w:t>
            </w:r>
          </w:p>
        </w:tc>
        <w:tc>
          <w:tcPr>
            <w:tcW w:type="dxa" w:w="1173"/>
            <w:shd w:fill="FFFFFF" w:color="auto" w:val="clear"/>
            <w:tcMar>
              <w:top w:type="dxa" w:w="70"/>
              <w:left w:type="dxa" w:w="100"/>
              <w:bottom w:type="dxa" w:w="70"/>
              <w:right w:type="dxa" w:w="100"/>
            </w:tcMar>
            <w:vAlign w:val="top"/>
          </w:tcPr>
          <w:p>
            <w:pPr>
              <w:spacing w:after="0" w:before="0" w:line="252"/>
            </w:pPr>
            <w:r>
              <w:rPr>
                <w:sz w:val="17"/>
                <w:szCs w:val="17"/>
              </w:rPr>
              <w:t xml:space="preserve">High (8)</w:t>
            </w:r>
          </w:p>
        </w:tc>
      </w:tr>
    </w:tbl>
    <w:p>
      <w:pPr>
        <w:spacing w:after="120" w:line="120"/>
      </w:pPr>
      <w:r>
        <w:rPr>
          <w:sz w:val="4"/>
          <w:szCs w:val="4"/>
        </w:rPr>
        <w:t xml:space="preserve"/>
      </w:r>
    </w:p>
    <w:p>
      <w:pPr>
        <w:keepNext/>
        <w:spacing w:after="70" w:before="180"/>
      </w:pPr>
      <w:r>
        <w:rPr>
          <w:b/>
          <w:bCs/>
          <w:color w:val="15314B"/>
          <w:sz w:val="19"/>
          <w:szCs w:val="19"/>
        </w:rPr>
        <w:t xml:space="preserve">Part 2: controls and residual rating</w:t>
      </w:r>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974"/>
        <w:gridCol w:w="3313"/>
        <w:gridCol w:w="974"/>
        <w:gridCol w:w="974"/>
        <w:gridCol w:w="2144"/>
        <w:gridCol w:w="1367"/>
      </w:tblGrid>
      <w:tr>
        <w:trPr>
          <w:cantSplit/>
          <w:tblHeader/>
        </w:trPr>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Risk ID</w:t>
            </w:r>
          </w:p>
        </w:tc>
        <w:tc>
          <w:tcPr>
            <w:tcW w:type="dxa" w:w="33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Controls (status, evidence reference)</w:t>
            </w:r>
          </w:p>
        </w:tc>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Residual L</w:t>
            </w:r>
          </w:p>
        </w:tc>
        <w:tc>
          <w:tcPr>
            <w:tcW w:type="dxa" w:w="97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Residual S</w:t>
            </w:r>
          </w:p>
        </w:tc>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Residual rating and reason</w:t>
            </w:r>
          </w:p>
        </w:tc>
        <w:tc>
          <w:tcPr>
            <w:tcW w:type="dxa" w:w="1367"/>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Owner</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HR-R01</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Single sign-on through the identity provider with phishing-resistant MFA for admin roles (In place, conditional access policy export); admin role limited to 3 named users (Committed, A-04); export alerting to security team (Committed, A-05); bank detail changes require verification by a second person (In place, workflow configuration)</w:t>
            </w:r>
          </w:p>
        </w:tc>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1</w:t>
            </w:r>
          </w:p>
        </w:tc>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Low (3). Likelihood reduced: account takeover needs MFA bypass and a large export would be alerted. Severity unchanged because the data is still present.</w:t>
            </w:r>
          </w:p>
        </w:tc>
        <w:tc>
          <w:tcPr>
            <w:tcW w:type="dxa" w:w="1367"/>
            <w:shd w:fill="FFFFFF" w:color="auto" w:val="clear"/>
            <w:tcMar>
              <w:top w:type="dxa" w:w="70"/>
              <w:left w:type="dxa" w:w="100"/>
              <w:bottom w:type="dxa" w:w="70"/>
              <w:right w:type="dxa" w:w="100"/>
            </w:tcMar>
            <w:vAlign w:val="top"/>
          </w:tcPr>
          <w:p>
            <w:pPr>
              <w:spacing w:after="0" w:before="0" w:line="252"/>
            </w:pPr>
            <w:r>
              <w:rPr>
                <w:sz w:val="17"/>
                <w:szCs w:val="17"/>
              </w:rPr>
              <w:t xml:space="preserve">Head of IT</w:t>
            </w:r>
          </w:p>
        </w:tc>
      </w:tr>
      <w:tr>
        <w:trPr>
          <w:cantSplit/>
        </w:trPr>
        <w:tc>
          <w:tcPr>
            <w:tcW w:type="dxa" w:w="974"/>
            <w:shd w:fill="F2F4F6" w:color="auto" w:val="clear"/>
            <w:tcMar>
              <w:top w:type="dxa" w:w="70"/>
              <w:left w:type="dxa" w:w="100"/>
              <w:bottom w:type="dxa" w:w="70"/>
              <w:right w:type="dxa" w:w="100"/>
            </w:tcMar>
            <w:vAlign w:val="top"/>
          </w:tcPr>
          <w:p>
            <w:pPr>
              <w:spacing w:after="0" w:before="0" w:line="252"/>
            </w:pPr>
            <w:r>
              <w:rPr>
                <w:sz w:val="17"/>
                <w:szCs w:val="17"/>
              </w:rPr>
              <w:t xml:space="preserve">HR-R02</w:t>
            </w:r>
          </w:p>
        </w:tc>
        <w:tc>
          <w:tcPr>
            <w:tcW w:type="dxa" w:w="3313"/>
            <w:shd w:fill="F2F4F6" w:color="auto" w:val="clear"/>
            <w:tcMar>
              <w:top w:type="dxa" w:w="70"/>
              <w:left w:type="dxa" w:w="100"/>
              <w:bottom w:type="dxa" w:w="70"/>
              <w:right w:type="dxa" w:w="100"/>
            </w:tcMar>
            <w:vAlign w:val="top"/>
          </w:tcPr>
          <w:p>
            <w:pPr>
              <w:spacing w:after="0" w:before="0" w:line="252"/>
            </w:pPr>
            <w:r>
              <w:rPr>
                <w:sz w:val="17"/>
                <w:szCs w:val="17"/>
              </w:rPr>
              <w:t xml:space="preserve">Custom manager role scoped to direct reports only (Committed, A-01, condition of go-live); health and adjustment fields restricted to HR case workers (Committed, A-02, condition of go-live); quarterly access review of HR roles (Proposed)</w:t>
            </w:r>
          </w:p>
        </w:tc>
        <w:tc>
          <w:tcPr>
            <w:tcW w:type="dxa" w:w="974"/>
            <w:shd w:fill="F2F4F6" w:color="auto" w:val="clear"/>
            <w:tcMar>
              <w:top w:type="dxa" w:w="70"/>
              <w:left w:type="dxa" w:w="100"/>
              <w:bottom w:type="dxa" w:w="70"/>
              <w:right w:type="dxa" w:w="100"/>
            </w:tcMar>
            <w:vAlign w:val="top"/>
          </w:tcPr>
          <w:p>
            <w:pPr>
              <w:spacing w:after="0" w:before="0" w:line="252"/>
            </w:pPr>
            <w:r>
              <w:rPr>
                <w:sz w:val="17"/>
                <w:szCs w:val="17"/>
              </w:rPr>
              <w:t xml:space="preserve">1</w:t>
            </w:r>
          </w:p>
        </w:tc>
        <w:tc>
          <w:tcPr>
            <w:tcW w:type="dxa" w:w="974"/>
            <w:shd w:fill="F2F4F6" w:color="auto" w:val="clear"/>
            <w:tcMar>
              <w:top w:type="dxa" w:w="70"/>
              <w:left w:type="dxa" w:w="100"/>
              <w:bottom w:type="dxa" w:w="70"/>
              <w:right w:type="dxa" w:w="100"/>
            </w:tcMar>
            <w:vAlign w:val="top"/>
          </w:tcPr>
          <w:p>
            <w:pPr>
              <w:spacing w:after="0" w:before="0" w:line="252"/>
            </w:pPr>
            <w:r>
              <w:rPr>
                <w:sz w:val="17"/>
                <w:szCs w:val="17"/>
              </w:rPr>
              <w:t xml:space="preserve">3</w:t>
            </w:r>
          </w:p>
        </w:tc>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Low (3). Likelihood reduced to Remote once role scoping is verified by test before go-live. Access review not counted until it has an owner and date.</w:t>
            </w:r>
          </w:p>
        </w:tc>
        <w:tc>
          <w:tcPr>
            <w:tcW w:type="dxa" w:w="1367"/>
            <w:shd w:fill="F2F4F6" w:color="auto" w:val="clear"/>
            <w:tcMar>
              <w:top w:type="dxa" w:w="70"/>
              <w:left w:type="dxa" w:w="100"/>
              <w:bottom w:type="dxa" w:w="70"/>
              <w:right w:type="dxa" w:w="100"/>
            </w:tcMar>
            <w:vAlign w:val="top"/>
          </w:tcPr>
          <w:p>
            <w:pPr>
              <w:spacing w:after="0" w:before="0" w:line="252"/>
            </w:pPr>
            <w:r>
              <w:rPr>
                <w:sz w:val="17"/>
                <w:szCs w:val="17"/>
              </w:rPr>
              <w:t xml:space="preserve">HR Director</w:t>
            </w:r>
          </w:p>
        </w:tc>
      </w:tr>
      <w:tr>
        <w:trPr>
          <w:cantSplit/>
        </w:trPr>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HR-R03</w:t>
            </w:r>
          </w:p>
        </w:tc>
        <w:tc>
          <w:tcPr>
            <w:tcW w:type="dxa" w:w="3313"/>
            <w:shd w:fill="FFFFFF" w:color="auto" w:val="clear"/>
            <w:tcMar>
              <w:top w:type="dxa" w:w="70"/>
              <w:left w:type="dxa" w:w="100"/>
              <w:bottom w:type="dxa" w:w="70"/>
              <w:right w:type="dxa" w:w="100"/>
            </w:tcMar>
            <w:vAlign w:val="top"/>
          </w:tcPr>
          <w:p>
            <w:pPr>
              <w:spacing w:after="0" w:before="0" w:line="252"/>
            </w:pPr>
            <w:r>
              <w:rPr>
                <w:sz w:val="17"/>
                <w:szCs w:val="17"/>
              </w:rPr>
              <w:t xml:space="preserve">Migrate applicant records only for the last 12 months and leaver records only within the documented retention period (Committed, A-03, condition of go-live); retention rule configured in the system (Committed, A-06)</w:t>
            </w:r>
          </w:p>
        </w:tc>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2</w:t>
            </w:r>
          </w:p>
        </w:tc>
        <w:tc>
          <w:tcPr>
            <w:tcW w:type="dxa" w:w="974"/>
            <w:shd w:fill="FFFFFF" w:color="auto" w:val="clear"/>
            <w:tcMar>
              <w:top w:type="dxa" w:w="70"/>
              <w:left w:type="dxa" w:w="100"/>
              <w:bottom w:type="dxa" w:w="70"/>
              <w:right w:type="dxa" w:w="100"/>
            </w:tcMar>
            <w:vAlign w:val="top"/>
          </w:tcPr>
          <w:p>
            <w:pPr>
              <w:spacing w:after="0" w:before="0" w:line="252"/>
            </w:pPr>
            <w:r>
              <w:rPr>
                <w:sz w:val="17"/>
                <w:szCs w:val="17"/>
              </w:rPr>
              <w:t xml:space="preserve">2</w:t>
            </w:r>
          </w:p>
        </w:tc>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Medium (4). Likelihood reduced but not to Remote until the first automated deletion run is evidenced. Accepted by senior accountable owner; review at 3 months.</w:t>
            </w:r>
          </w:p>
        </w:tc>
        <w:tc>
          <w:tcPr>
            <w:tcW w:type="dxa" w:w="1367"/>
            <w:shd w:fill="FFFFFF" w:color="auto" w:val="clear"/>
            <w:tcMar>
              <w:top w:type="dxa" w:w="70"/>
              <w:left w:type="dxa" w:w="100"/>
              <w:bottom w:type="dxa" w:w="70"/>
              <w:right w:type="dxa" w:w="100"/>
            </w:tcMar>
            <w:vAlign w:val="top"/>
          </w:tcPr>
          <w:p>
            <w:pPr>
              <w:spacing w:after="0" w:before="0" w:line="252"/>
            </w:pPr>
            <w:r>
              <w:rPr>
                <w:sz w:val="17"/>
                <w:szCs w:val="17"/>
              </w:rPr>
              <w:t xml:space="preserve">HR Director</w:t>
            </w:r>
          </w:p>
        </w:tc>
      </w:tr>
    </w:tbl>
    <w:p>
      <w:pPr>
        <w:spacing w:after="120" w:line="120"/>
      </w:pPr>
      <w:r>
        <w:rPr>
          <w:sz w:val="4"/>
          <w:szCs w:val="4"/>
        </w:rPr>
        <w:t xml:space="preserve"/>
      </w:r>
    </w:p>
    <w:p>
      <w:pPr>
        <w:spacing w:after="130" w:line="262"/>
      </w:pPr>
      <w:r>
        <w:t xml:space="preserve">Note what the example shows. HR-R02 was rated High inherently not because of an attacker but because of the system's default configuration: the processing working as designed would have harmed employees. The controls that matter most are Committed and are conditions of go-live, so the residual rating depends on them being evidenced before the system goes live. The quarterly access review is a sensible control but is not counted, because it has no owner. HR-R03 is left at Medium and accepted by a named executive with a short review interval, which is a defensible position if it is written down and an unacceptable one if it is not.</w:t>
      </w:r>
    </w:p>
    <w:p>
      <w:pPr>
        <w:spacing w:after="60" w:line="120"/>
      </w:pPr>
      <w:r>
        <w:rPr>
          <w:sz w:val="4"/>
          <w:szCs w:val="4"/>
        </w:rPr>
        <w:t xml:space="preserve"/>
      </w:r>
    </w:p>
    <w:p>
      <w:pPr>
        <w:pStyle w:val="Heading1"/>
        <w:keepNext/>
        <w:keepLines/>
        <w:pBdr>
          <w:bottom w:val="single" w:color="D4DAE0" w:sz="4" w:space="4"/>
        </w:pBdr>
        <w:spacing w:after="140" w:before="300"/>
      </w:pPr>
      <w:bookmarkStart w:name="_RG0055" w:id="1"/>
      <w:r>
        <w:t xml:space="preserve">Appendix J.  Guidance for adoption</w:t>
      </w:r>
      <w:bookmarkEnd w:id="1"/>
    </w:p>
    <w:p>
      <w:pPr>
        <w:spacing w:after="130" w:line="262"/>
      </w:pPr>
      <w:r>
        <w:t xml:space="preserve">This appendix is guidance for the person adopting the template.</w:t>
      </w:r>
    </w:p>
    <w:p>
      <w:pPr>
        <w:pStyle w:val="ListParagraph"/>
        <w:numPr>
          <w:ilvl w:val="0"/>
          <w:numId w:val="2"/>
        </w:numPr>
        <w:spacing w:after="60" w:line="262"/>
      </w:pPr>
      <w:r>
        <w:t xml:space="preserve">Start with the record of processing. If the organization does not have one, build the entries for the activities that the screening criteria flag first. An impact assessment without a record of processing has nothing to check its description against.</w:t>
      </w:r>
    </w:p>
    <w:p>
      <w:pPr>
        <w:pStyle w:val="ListParagraph"/>
        <w:numPr>
          <w:ilvl w:val="0"/>
          <w:numId w:val="2"/>
        </w:numPr>
        <w:spacing w:after="60" w:line="262"/>
      </w:pPr>
      <w:r>
        <w:t xml:space="preserve">Run screening on every new project, even when the answer looks obvious. The negative screenings are the evidence that the organization asks the question routinely, and they are the population an assessor tests first.</w:t>
      </w:r>
    </w:p>
    <w:p>
      <w:pPr>
        <w:pStyle w:val="ListParagraph"/>
        <w:numPr>
          <w:ilvl w:val="0"/>
          <w:numId w:val="2"/>
        </w:numPr>
        <w:spacing w:after="60" w:line="262"/>
      </w:pPr>
      <w:r>
        <w:t xml:space="preserve">Agree the acceptance authority in Section 11 with the executive team before the first assessment. Deciding who may accept a High residual risk while a project is waiting to go live produces a worse answer.</w:t>
      </w:r>
    </w:p>
    <w:p>
      <w:pPr>
        <w:pStyle w:val="ListParagraph"/>
        <w:numPr>
          <w:ilvl w:val="0"/>
          <w:numId w:val="2"/>
        </w:numPr>
        <w:spacing w:after="60" w:line="262"/>
      </w:pPr>
      <w:r>
        <w:t xml:space="preserve">Keep the likelihood and severity scales unchanged for at least a year. Changing the scales part way through makes ratings incomparable across assessments.</w:t>
      </w:r>
    </w:p>
    <w:p>
      <w:pPr>
        <w:pStyle w:val="ListParagraph"/>
        <w:numPr>
          <w:ilvl w:val="0"/>
          <w:numId w:val="2"/>
        </w:numPr>
        <w:spacing w:after="60" w:line="262"/>
      </w:pPr>
      <w:r>
        <w:t xml:space="preserve">Expect the first two or three full assessments to take longer than later ones, mostly in confirming the description against the systems. That effort is where most real risks are found.</w:t>
      </w:r>
    </w:p>
    <w:p>
      <w:pPr>
        <w:pStyle w:val="ListParagraph"/>
        <w:numPr>
          <w:ilvl w:val="0"/>
          <w:numId w:val="2"/>
        </w:numPr>
        <w:spacing w:after="60" w:line="262"/>
      </w:pPr>
      <w:r>
        <w:t xml:space="preserve">Where the organization is subject to more than one law, check each law's content list against Appendix B and Appendix E once, record the additions in a short mapping, and reuse it. Some laws accept an assessment carried out for another law where it is reasonably similar in scope and effect; the Colorado rules are one example.</w:t>
      </w:r>
    </w:p>
    <w:p>
      <w:pPr>
        <w:pStyle w:val="ListParagraph"/>
        <w:numPr>
          <w:ilvl w:val="0"/>
          <w:numId w:val="2"/>
        </w:numPr>
        <w:spacing w:after="60" w:line="262"/>
      </w:pPr>
      <w:r>
        <w:t xml:space="preserve">Do not let the DPO or privacy lead complete assessments on behalf of project owners. It feels efficient and it removes the independent advice that the method relies on.</w:t>
      </w:r>
    </w:p>
    <w:p>
      <w:pPr>
        <w:pStyle w:val="Heading1"/>
        <w:keepNext/>
        <w:keepLines/>
        <w:pageBreakBefore/>
        <w:pBdr>
          <w:bottom w:val="single" w:color="D4DAE0" w:sz="4" w:space="4"/>
        </w:pBdr>
        <w:spacing w:after="140" w:before="300"/>
      </w:pPr>
      <w:bookmarkStart w:name="_RG0056" w:id="1"/>
      <w:r>
        <w:t xml:space="preserve">Glossary</w:t>
      </w:r>
      <w:bookmarkEnd w:id="1"/>
    </w:p>
    <w:p>
      <w:pPr>
        <w:pStyle w:val="Heading2"/>
        <w:keepNext/>
        <w:keepLines/>
        <w:spacing w:after="90" w:before="220"/>
      </w:pPr>
      <w:bookmarkStart w:name="_RG0057" w:id="1"/>
      <w:r>
        <w:t xml:space="preserve">Acronyms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144"/>
        <w:gridCol w:w="7602"/>
      </w:tblGrid>
      <w:tr>
        <w:trPr>
          <w:cantSplit/>
          <w:tblHeader/>
        </w:trPr>
        <w:tc>
          <w:tcPr>
            <w:tcW w:type="dxa" w:w="214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Acronym</w:t>
            </w:r>
          </w:p>
        </w:tc>
        <w:tc>
          <w:tcPr>
            <w:tcW w:type="dxa" w:w="7602"/>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Meaning</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CCPA</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California Consumer Privacy Act</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CPA</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Colorado Privacy Act</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DPIA</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Data protection impact assessment</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DPO</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Data protection officer</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GDPR</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General Data Protection Regulation, in its EU form or as retained in UK law</w:t>
            </w:r>
          </w:p>
        </w:tc>
      </w:tr>
      <w:tr>
        <w:trPr>
          <w:cantSplit/>
        </w:trPr>
        <w:tc>
          <w:tcPr>
            <w:tcW w:type="dxa" w:w="2144"/>
            <w:shd w:fill="F2F4F6" w:color="auto" w:val="clear"/>
            <w:tcMar>
              <w:top w:type="dxa" w:w="70"/>
              <w:left w:type="dxa" w:w="100"/>
              <w:bottom w:type="dxa" w:w="70"/>
              <w:right w:type="dxa" w:w="100"/>
            </w:tcMar>
            <w:vAlign w:val="top"/>
          </w:tcPr>
          <w:p>
            <w:pPr>
              <w:spacing w:after="0" w:before="0" w:line="252"/>
            </w:pPr>
            <w:r>
              <w:rPr>
                <w:sz w:val="17"/>
                <w:szCs w:val="17"/>
              </w:rPr>
              <w:t xml:space="preserve">HR</w:t>
            </w:r>
          </w:p>
        </w:tc>
        <w:tc>
          <w:tcPr>
            <w:tcW w:type="dxa" w:w="7602"/>
            <w:shd w:fill="F2F4F6" w:color="auto" w:val="clear"/>
            <w:tcMar>
              <w:top w:type="dxa" w:w="70"/>
              <w:left w:type="dxa" w:w="100"/>
              <w:bottom w:type="dxa" w:w="70"/>
              <w:right w:type="dxa" w:w="100"/>
            </w:tcMar>
            <w:vAlign w:val="top"/>
          </w:tcPr>
          <w:p>
            <w:pPr>
              <w:spacing w:after="0" w:before="0" w:line="252"/>
            </w:pPr>
            <w:r>
              <w:rPr>
                <w:sz w:val="17"/>
                <w:szCs w:val="17"/>
              </w:rPr>
              <w:t xml:space="preserve">Human resources</w:t>
            </w:r>
          </w:p>
        </w:tc>
      </w:tr>
      <w:tr>
        <w:trPr>
          <w:cantSplit/>
        </w:trPr>
        <w:tc>
          <w:tcPr>
            <w:tcW w:type="dxa" w:w="2144"/>
            <w:shd w:fill="FFFFFF" w:color="auto" w:val="clear"/>
            <w:tcMar>
              <w:top w:type="dxa" w:w="70"/>
              <w:left w:type="dxa" w:w="100"/>
              <w:bottom w:type="dxa" w:w="70"/>
              <w:right w:type="dxa" w:w="100"/>
            </w:tcMar>
            <w:vAlign w:val="top"/>
          </w:tcPr>
          <w:p>
            <w:pPr>
              <w:spacing w:after="0" w:before="0" w:line="252"/>
            </w:pPr>
            <w:r>
              <w:rPr>
                <w:sz w:val="17"/>
                <w:szCs w:val="17"/>
              </w:rPr>
              <w:t xml:space="preserve">MFA</w:t>
            </w:r>
          </w:p>
        </w:tc>
        <w:tc>
          <w:tcPr>
            <w:tcW w:type="dxa" w:w="7602"/>
            <w:shd w:fill="FFFFFF" w:color="auto" w:val="clear"/>
            <w:tcMar>
              <w:top w:type="dxa" w:w="70"/>
              <w:left w:type="dxa" w:w="100"/>
              <w:bottom w:type="dxa" w:w="70"/>
              <w:right w:type="dxa" w:w="100"/>
            </w:tcMar>
            <w:vAlign w:val="top"/>
          </w:tcPr>
          <w:p>
            <w:pPr>
              <w:spacing w:after="0" w:before="0" w:line="252"/>
            </w:pPr>
            <w:r>
              <w:rPr>
                <w:sz w:val="17"/>
                <w:szCs w:val="17"/>
              </w:rPr>
              <w:t xml:space="preserve">Multi-factor authentication</w:t>
            </w:r>
          </w:p>
        </w:tc>
      </w:tr>
    </w:tbl>
    <w:p>
      <w:pPr>
        <w:spacing w:after="120" w:line="120"/>
      </w:pPr>
      <w:r>
        <w:rPr>
          <w:sz w:val="4"/>
          <w:szCs w:val="4"/>
        </w:rPr>
        <w:t xml:space="preserve"/>
      </w:r>
    </w:p>
    <w:p>
      <w:pPr>
        <w:pStyle w:val="Heading2"/>
        <w:keepNext/>
        <w:keepLines/>
        <w:spacing w:after="90" w:before="220"/>
      </w:pPr>
      <w:bookmarkStart w:name="_RG0058" w:id="1"/>
      <w:r>
        <w:t xml:space="preserve">Definitions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2533"/>
        <w:gridCol w:w="7213"/>
      </w:tblGrid>
      <w:tr>
        <w:trPr>
          <w:cantSplit/>
          <w:tblHeader/>
        </w:trPr>
        <w:tc>
          <w:tcPr>
            <w:tcW w:type="dxa" w:w="253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Term</w:t>
            </w:r>
          </w:p>
        </w:tc>
        <w:tc>
          <w:tcPr>
            <w:tcW w:type="dxa" w:w="721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Definition</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Applicable data protection law</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The law or laws governing the processing being assessed, as identified for each assessment in Appendix B.</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Controller</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organization that determines the purposes and means of the processing of personal data.</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Data protection impact assessment</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documented assessment of the impact of a processing activity on the individuals whose personal data it processes, including the risks to their rights and freedoms and the measures to address them. Called a data protection assessment or a risk assessment in some laws.</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Inherent risk</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rating of a risk before the controls specific to the processing being assessed are taken into account.</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Processor</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A party that processes personal data on behalf of the controller.</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Record of processing</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organization's register of its processing activities, describing for each the purposes, data, individuals, recipients, transfers, retention and security measures.</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Residual risk</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The rating of a risk after the controls recorded as In place or Committed are taken into account.</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Senior accountable owner</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executive who owns the business purpose served by the processing and who accepts Medium and High residual risks.</w:t>
            </w:r>
          </w:p>
        </w:tc>
      </w:tr>
      <w:tr>
        <w:trPr>
          <w:cantSplit/>
        </w:trPr>
        <w:tc>
          <w:tcPr>
            <w:tcW w:type="dxa" w:w="2533"/>
            <w:shd w:fill="FFFFFF" w:color="auto" w:val="clear"/>
            <w:tcMar>
              <w:top w:type="dxa" w:w="70"/>
              <w:left w:type="dxa" w:w="100"/>
              <w:bottom w:type="dxa" w:w="70"/>
              <w:right w:type="dxa" w:w="100"/>
            </w:tcMar>
            <w:vAlign w:val="top"/>
          </w:tcPr>
          <w:p>
            <w:pPr>
              <w:spacing w:after="0" w:before="0" w:line="252"/>
            </w:pPr>
            <w:r>
              <w:rPr>
                <w:sz w:val="17"/>
                <w:szCs w:val="17"/>
              </w:rPr>
              <w:t xml:space="preserve">Special category data</w:t>
            </w:r>
          </w:p>
        </w:tc>
        <w:tc>
          <w:tcPr>
            <w:tcW w:type="dxa" w:w="7213"/>
            <w:shd w:fill="FFFFFF" w:color="auto" w:val="clear"/>
            <w:tcMar>
              <w:top w:type="dxa" w:w="70"/>
              <w:left w:type="dxa" w:w="100"/>
              <w:bottom w:type="dxa" w:w="70"/>
              <w:right w:type="dxa" w:w="100"/>
            </w:tcMar>
            <w:vAlign w:val="top"/>
          </w:tcPr>
          <w:p>
            <w:pPr>
              <w:spacing w:after="0" w:before="0" w:line="252"/>
            </w:pPr>
            <w:r>
              <w:rPr>
                <w:sz w:val="17"/>
                <w:szCs w:val="17"/>
              </w:rPr>
              <w:t xml:space="preserve">Personal data that the applicable data protection law protects more strictly, such as data revealing racial or ethnic origin, health, biometric or genetic data, or sexual orientation. Some laws use the term sensitive data or sensitive personal information.</w:t>
            </w:r>
          </w:p>
        </w:tc>
      </w:tr>
      <w:tr>
        <w:trPr>
          <w:cantSplit/>
        </w:trPr>
        <w:tc>
          <w:tcPr>
            <w:tcW w:type="dxa" w:w="2533"/>
            <w:shd w:fill="F2F4F6" w:color="auto" w:val="clear"/>
            <w:tcMar>
              <w:top w:type="dxa" w:w="70"/>
              <w:left w:type="dxa" w:w="100"/>
              <w:bottom w:type="dxa" w:w="70"/>
              <w:right w:type="dxa" w:w="100"/>
            </w:tcMar>
            <w:vAlign w:val="top"/>
          </w:tcPr>
          <w:p>
            <w:pPr>
              <w:spacing w:after="0" w:before="0" w:line="252"/>
            </w:pPr>
            <w:r>
              <w:rPr>
                <w:sz w:val="17"/>
                <w:szCs w:val="17"/>
              </w:rPr>
              <w:t xml:space="preserve">Supervisory authority</w:t>
            </w:r>
          </w:p>
        </w:tc>
        <w:tc>
          <w:tcPr>
            <w:tcW w:type="dxa" w:w="7213"/>
            <w:shd w:fill="F2F4F6" w:color="auto" w:val="clear"/>
            <w:tcMar>
              <w:top w:type="dxa" w:w="70"/>
              <w:left w:type="dxa" w:w="100"/>
              <w:bottom w:type="dxa" w:w="70"/>
              <w:right w:type="dxa" w:w="100"/>
            </w:tcMar>
            <w:vAlign w:val="top"/>
          </w:tcPr>
          <w:p>
            <w:pPr>
              <w:spacing w:after="0" w:before="0" w:line="252"/>
            </w:pPr>
            <w:r>
              <w:rPr>
                <w:sz w:val="17"/>
                <w:szCs w:val="17"/>
              </w:rPr>
              <w:t xml:space="preserve">The public authority responsible for monitoring the application of the applicable data protection law; in the UK, the Information Commissioner.</w:t>
            </w:r>
          </w:p>
        </w:tc>
      </w:tr>
    </w:tbl>
    <w:p>
      <w:pPr>
        <w:spacing w:after="120" w:line="120"/>
      </w:pPr>
      <w:r>
        <w:rPr>
          <w:sz w:val="4"/>
          <w:szCs w:val="4"/>
        </w:rPr>
        <w:t xml:space="preserve"/>
      </w:r>
    </w:p>
    <w:p>
      <w:pPr>
        <w:pStyle w:val="Heading1"/>
        <w:keepNext/>
        <w:keepLines/>
        <w:pBdr>
          <w:bottom w:val="single" w:color="D4DAE0" w:sz="4" w:space="4"/>
        </w:pBdr>
        <w:spacing w:after="140" w:before="300"/>
      </w:pPr>
      <w:bookmarkStart w:name="_RG0059" w:id="1"/>
      <w:r>
        <w:t xml:space="preserve">Record of changes</w:t>
      </w:r>
      <w:bookmarkEnd w:id="1"/>
    </w:p>
    <w:tbl>
      <w:tblPr>
        <w:tblW w:type="dxa" w:w="9746"/>
        <w:tblBorders>
          <w:top w:val="single" w:color="D4DAE0" w:sz="4"/>
          <w:left w:val="single" w:color="D4DAE0" w:sz="4"/>
          <w:bottom w:val="single" w:color="D4DAE0" w:sz="4"/>
          <w:right w:val="single" w:color="D4DAE0" w:sz="4"/>
          <w:insideH w:val="single" w:color="D4DAE0" w:sz="4"/>
          <w:insideV w:val="single" w:color="D4DAE0" w:sz="4"/>
        </w:tblBorders>
      </w:tblPr>
      <w:tblGrid>
        <w:gridCol w:w="1169"/>
        <w:gridCol w:w="1754"/>
        <w:gridCol w:w="4483"/>
        <w:gridCol w:w="2340"/>
      </w:tblGrid>
      <w:tr>
        <w:trPr>
          <w:cantSplit/>
          <w:tblHeader/>
        </w:trPr>
        <w:tc>
          <w:tcPr>
            <w:tcW w:type="dxa" w:w="1169"/>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Version</w:t>
            </w:r>
          </w:p>
        </w:tc>
        <w:tc>
          <w:tcPr>
            <w:tcW w:type="dxa" w:w="1754"/>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Date</w:t>
            </w:r>
          </w:p>
        </w:tc>
        <w:tc>
          <w:tcPr>
            <w:tcW w:type="dxa" w:w="4483"/>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Description of change</w:t>
            </w:r>
          </w:p>
        </w:tc>
        <w:tc>
          <w:tcPr>
            <w:tcW w:type="dxa" w:w="2340"/>
            <w:shd w:fill="15314B" w:color="auto" w:val="clear"/>
            <w:tcMar>
              <w:top w:type="dxa" w:w="70"/>
              <w:left w:type="dxa" w:w="100"/>
              <w:bottom w:type="dxa" w:w="70"/>
              <w:right w:type="dxa" w:w="100"/>
            </w:tcMar>
            <w:vAlign w:val="top"/>
          </w:tcPr>
          <w:p>
            <w:pPr>
              <w:spacing w:after="0" w:before="0" w:line="252"/>
            </w:pPr>
            <w:r>
              <w:rPr>
                <w:b/>
                <w:bCs/>
                <w:color w:val="FFFFFF"/>
                <w:sz w:val="17"/>
                <w:szCs w:val="17"/>
              </w:rPr>
              <w:t xml:space="preserve">Approved by</w:t>
            </w:r>
          </w:p>
        </w:tc>
      </w:tr>
      <w:tr>
        <w:trPr>
          <w:cantSplit/>
        </w:trPr>
        <w:tc>
          <w:tcPr>
            <w:tcW w:type="dxa" w:w="1169"/>
            <w:shd w:fill="FFFFFF" w:color="auto" w:val="clear"/>
            <w:tcMar>
              <w:top w:type="dxa" w:w="70"/>
              <w:left w:type="dxa" w:w="100"/>
              <w:bottom w:type="dxa" w:w="70"/>
              <w:right w:type="dxa" w:w="100"/>
            </w:tcMar>
            <w:vAlign w:val="top"/>
          </w:tcPr>
          <w:p>
            <w:pPr>
              <w:spacing w:after="0" w:before="0" w:line="252"/>
            </w:pPr>
            <w:r>
              <w:rPr>
                <w:sz w:val="17"/>
                <w:szCs w:val="17"/>
              </w:rPr>
              <w:t xml:space="preserve">1.0</w:t>
            </w:r>
          </w:p>
        </w:tc>
        <w:tc>
          <w:tcPr>
            <w:tcW w:type="dxa" w:w="1754"/>
            <w:shd w:fill="FFFFFF" w:color="auto" w:val="clear"/>
            <w:tcMar>
              <w:top w:type="dxa" w:w="70"/>
              <w:left w:type="dxa" w:w="100"/>
              <w:bottom w:type="dxa" w:w="70"/>
              <w:right w:type="dxa" w:w="100"/>
            </w:tcMar>
            <w:vAlign w:val="top"/>
          </w:tcPr>
          <w:p>
            <w:pPr>
              <w:spacing w:after="0" w:before="0" w:line="252"/>
            </w:pPr>
            <w:r>
              <w:rPr>
                <w:sz w:val="17"/>
                <w:szCs w:val="17"/>
              </w:rPr>
              <w:t xml:space="preserve">October 2026</w:t>
            </w:r>
          </w:p>
        </w:tc>
        <w:tc>
          <w:tcPr>
            <w:tcW w:type="dxa" w:w="4483"/>
            <w:shd w:fill="FFFFFF" w:color="auto" w:val="clear"/>
            <w:tcMar>
              <w:top w:type="dxa" w:w="70"/>
              <w:left w:type="dxa" w:w="100"/>
              <w:bottom w:type="dxa" w:w="70"/>
              <w:right w:type="dxa" w:w="100"/>
            </w:tcMar>
            <w:vAlign w:val="top"/>
          </w:tcPr>
          <w:p>
            <w:pPr>
              <w:spacing w:after="0" w:before="0" w:line="252"/>
            </w:pPr>
            <w:r>
              <w:rPr>
                <w:sz w:val="17"/>
                <w:szCs w:val="17"/>
              </w:rPr>
              <w:t xml:space="preserve">First issue.</w:t>
            </w:r>
          </w:p>
        </w:tc>
        <w:tc>
          <w:tcPr>
            <w:tcW w:type="dxa" w:w="2340"/>
            <w:shd w:fill="FFFFFF" w:color="auto" w:val="clear"/>
            <w:tcMar>
              <w:top w:type="dxa" w:w="70"/>
              <w:left w:type="dxa" w:w="100"/>
              <w:bottom w:type="dxa" w:w="70"/>
              <w:right w:type="dxa" w:w="100"/>
            </w:tcMar>
            <w:vAlign w:val="top"/>
          </w:tcPr>
          <w:p>
            <w:pPr>
              <w:spacing w:after="0" w:before="0" w:line="252"/>
            </w:pPr>
          </w:p>
        </w:tc>
      </w:tr>
    </w:tbl>
    <w:p>
      <w:pPr>
        <w:spacing w:after="120" w:line="120"/>
      </w:pPr>
      <w:r>
        <w:rPr>
          <w:sz w:val="4"/>
          <w:szCs w:val="4"/>
        </w:rPr>
        <w:t xml:space="preserve"/>
      </w:r>
    </w:p>
    <w:sectPr>
      <w:headerReference w:type="default" r:id="rId7"/>
      <w:headerReference w:type="first" r:id="rId8"/>
      <w:footerReference w:type="default" r:id="rId9"/>
      <w:footerReference w:type="first" r:id="rId10"/>
      <w:pgSz w:w="11906" w:h="16838" w:orient="portrait"/>
      <w:pgMar w:top="1080" w:right="1080" w:bottom="100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TMP-DPI-001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RGFooter"/>
      <w:pBdr>
        <w:top w:val="single" w:color="D4DAE0" w:sz="4" w:space="4"/>
      </w:pBdr>
      <w:tabs>
        <w:tab w:val="right" w:pos="9746"/>
      </w:tabs>
    </w:pPr>
    <w:r>
      <w:rPr>
        <w:color w:val="60686F"/>
        <w:sz w:val="14"/>
        <w:szCs w:val="14"/>
      </w:rPr>
      <w:t xml:space="preserve">Doc ID: TMP-DPI-001</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Classification: Internal Use</w:t>
    </w:r>
    <w:r>
      <w:rPr>
        <w:color w:val="60686F"/>
        <w:sz w:val="14"/>
        <w:szCs w:val="14"/>
      </w:rPr>
      <w:t xml:space="preserve">	Page </w:t>
    </w:r>
    <w:r>
      <w:fldChar w:fldCharType="begin"/>
      <w:instrText xml:space="preserve">PAGE</w:instrText>
      <w:fldChar w:fldCharType="separate"/>
      <w:fldChar w:fldCharType="end"/>
    </w:r>
    <w:r>
      <w:rPr>
        <w:color w:val="60686F"/>
        <w:sz w:val="14"/>
        <w:szCs w:val="14"/>
      </w:rPr>
      <w:t xml:space="preserve"> of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color w:val="60686F"/>
        <w:sz w:val="14"/>
        <w:szCs w:val="14"/>
      </w:rPr>
      <w:t xml:space="preserve">[Company Logo]</w:t>
    </w:r>
    <w:r>
      <w:rPr>
        <w:color w:val="60686F"/>
        <w:sz w:val="14"/>
        <w:szCs w:val="14"/>
      </w:rPr>
      <w:t xml:space="preserve">   ·   </w:t>
    </w:r>
    <w:r>
      <w:rPr>
        <w:color w:val="60686F"/>
        <w:sz w:val="14"/>
        <w:szCs w:val="14"/>
      </w:rPr>
      <w:t xml:space="preserve">TMP-DPI-001</w:t>
    </w:r>
    <w:r>
      <w:rPr>
        <w:color w:val="60686F"/>
        <w:sz w:val="14"/>
        <w:szCs w:val="14"/>
      </w:rPr>
      <w:t xml:space="preserve">   ·   </w:t>
    </w:r>
    <w:r>
      <w:rPr>
        <w:color w:val="60686F"/>
        <w:sz w:val="14"/>
        <w:szCs w:val="14"/>
      </w:rPr>
      <w:t xml:space="preserve">Data Protection Impact Assessment Template</w:t>
    </w:r>
    <w:r>
      <w:rPr>
        <w:color w:val="60686F"/>
        <w:sz w:val="14"/>
        <w:szCs w:val="14"/>
      </w:rPr>
      <w:t xml:space="preserve">   ·   </w:t>
    </w:r>
    <w:r>
      <w:rPr>
        <w:color w:val="60686F"/>
        <w:sz w:val="14"/>
        <w:szCs w:val="14"/>
      </w:rPr>
      <w:t xml:space="preserve">Version 1.0</w:t>
    </w:r>
    <w:r>
      <w:rPr>
        <w:color w:val="60686F"/>
        <w:sz w:val="14"/>
        <w:szCs w:val="14"/>
      </w:rPr>
      <w:t xml:space="preserve">   ·   </w:t>
    </w:r>
    <w:r>
      <w:rPr>
        <w:color w:val="60686F"/>
        <w:sz w:val="14"/>
        <w:szCs w:val="14"/>
      </w:rPr>
      <w:t xml:space="preserve">Internal Use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DAE0" w:sz="4" w:space="4"/>
      </w:pBdr>
    </w:pPr>
    <w:r>
      <w:rPr>
        <w:i/>
        <w:iCs/>
        <w:color w:val="60686F"/>
        <w:sz w:val="14"/>
        <w:szCs w:val="14"/>
      </w:rPr>
      <w:t xml:space="preserve">This document and all information contained herein is the property of [Organization Name] and is intended for internal use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A30"/>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GFooter">
    <w:name w:val="RG Footer"/>
    <w:basedOn w:val="Normal"/>
    <w:rPr>
      <w:rFonts w:ascii="Arial" w:cs="Arial" w:eastAsia="Arial" w:hAnsi="Arial"/>
      <w:color w:val="60686F"/>
      <w:sz w:val="14"/>
      <w:szCs w:val="14"/>
    </w:rPr>
  </w:style>
  <w:style w:type="paragraph" w:styleId="Heading1">
    <w:name w:val="Heading 1"/>
    <w:basedOn w:val="Normal"/>
    <w:next w:val="Normal"/>
    <w:qFormat/>
    <w:pPr>
      <w:outlineLvl w:val="0"/>
    </w:pPr>
    <w:rPr>
      <w:rFonts w:ascii="Arial" w:cs="Arial" w:eastAsia="Arial" w:hAnsi="Arial"/>
      <w:b/>
      <w:bCs/>
      <w:color w:val="15314B"/>
      <w:sz w:val="27"/>
      <w:szCs w:val="27"/>
    </w:rPr>
  </w:style>
  <w:style w:type="paragraph" w:styleId="Heading2">
    <w:name w:val="Heading 2"/>
    <w:basedOn w:val="Normal"/>
    <w:next w:val="Normal"/>
    <w:qFormat/>
    <w:pPr>
      <w:outlineLvl w:val="1"/>
    </w:pPr>
    <w:rPr>
      <w:rFonts w:ascii="Arial" w:cs="Arial" w:eastAsia="Arial" w:hAnsi="Arial"/>
      <w:b/>
      <w:bCs/>
      <w:color w:val="2E5C7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Template</dc:title>
  <dc:subject>TMP-DPI-001</dc:subject>
  <dc:creator>RootGuard Security</dc:creator>
  <dc:description>Data Protection Impact Assessment Template. Assess processing before it starts, and record who accepted the risk. Free to use and to share.</dc:description>
  <cp:lastModifiedBy>RootGuard Security</cp:lastModifiedBy>
  <cp:revision>1</cp:revision>
  <dcterms:created xsi:type="dcterms:W3CDTF">2026-10-16T13:28:26.914Z</dcterms:created>
  <dcterms:modified xsi:type="dcterms:W3CDTF">2026-10-16T13:28:26.915Z</dcterms:modified>
</cp:coreProperties>
</file>

<file path=docProps/custom.xml><?xml version="1.0" encoding="utf-8"?>
<Properties xmlns="http://schemas.openxmlformats.org/officeDocument/2006/custom-properties" xmlns:vt="http://schemas.openxmlformats.org/officeDocument/2006/docPropsVTypes"/>
</file>