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6600"/>
        <w:tblBorders>
          <w:top w:val="none" w:color="auto" w:sz="0"/>
          <w:left w:val="none" w:color="auto" w:sz="0"/>
          <w:bottom w:val="none" w:color="auto" w:sz="0"/>
          <w:right w:val="none" w:color="auto" w:sz="0"/>
          <w:insideH w:val="none" w:color="auto" w:sz="0"/>
          <w:insideV w:val="none" w:color="auto" w:sz="0"/>
        </w:tblBorders>
      </w:tblPr>
      <w:tblGrid>
        <w:gridCol w:w="6600"/>
      </w:tblGrid>
      <w:tr>
        <w:tc>
          <w:tcPr>
            <w:tcW w:type="dxa" w:w="6600"/>
            <w:shd w:fill="15314B" w:color="auto" w:val="clear"/>
            <w:tcMar>
              <w:top w:type="dxa" w:w="500"/>
              <w:left w:type="dxa" w:w="360"/>
              <w:bottom w:type="dxa" w:w="420"/>
              <w:right w:type="dxa" w:w="360"/>
            </w:tcMar>
          </w:tcPr>
          <w:p>
            <w:pPr>
              <w:spacing w:after="420"/>
            </w:pPr>
            <w:r>
              <w:rPr>
                <w:color w:val="9DB0C0"/>
                <w:sz w:val="16"/>
                <w:szCs w:val="16"/>
              </w:rPr>
              <w:t xml:space="preserve">[Company Logo]</w:t>
            </w:r>
          </w:p>
          <w:p>
            <w:pPr>
              <w:spacing w:after="140"/>
            </w:pPr>
            <w:r>
              <w:rPr>
                <w:b/>
                <w:bCs/>
                <w:color w:val="FFFFFF"/>
                <w:sz w:val="46"/>
                <w:szCs w:val="46"/>
              </w:rPr>
              <w:t xml:space="preserve">Business Email Compromise Response Playbook</w:t>
            </w:r>
          </w:p>
          <w:p>
            <w:pPr>
              <w:spacing w:after="300"/>
            </w:pPr>
            <w:r>
              <w:rPr>
                <w:color w:val="C6D4DF"/>
                <w:sz w:val="22"/>
                <w:szCs w:val="22"/>
              </w:rPr>
              <w:t xml:space="preserve">The first hour after money is redirected or a mailbox is taken over</w:t>
            </w:r>
          </w:p>
          <w:p>
            <w:pPr>
              <w:pBdr>
                <w:bottom w:val="single" w:color="C2551D" w:sz="16" w:space="0"/>
              </w:pBdr>
              <w:spacing w:after="230"/>
            </w:pPr>
          </w:p>
          <w:p>
            <w:r>
              <w:rPr>
                <w:b/>
                <w:bCs/>
                <w:color w:val="FFFFFF"/>
              </w:rPr>
              <w:t xml:space="preserve">[Organization Name]</w:t>
            </w:r>
            <w:r>
              <w:t xml:space="preserve">          </w:t>
            </w:r>
            <w:r>
              <w:rPr>
                <w:color w:val="9DB0C0"/>
                <w:sz w:val="18"/>
                <w:szCs w:val="18"/>
              </w:rPr>
              <w:t xml:space="preserve">Classification: Internal Use</w:t>
            </w:r>
          </w:p>
        </w:tc>
      </w:tr>
    </w:tbl>
    <w:p>
      <w:pPr>
        <w:spacing w:after="420"/>
      </w:pPr>
    </w:p>
    <w:tbl>
      <w:tblPr>
        <w:tblW w:type="dxa" w:w="6600"/>
        <w:tblBorders>
          <w:top w:val="single" w:color="D4DAE0" w:sz="4"/>
          <w:left w:val="single" w:color="D4DAE0" w:sz="4"/>
          <w:bottom w:val="single" w:color="D4DAE0" w:sz="4"/>
          <w:right w:val="single" w:color="D4DAE0" w:sz="4"/>
          <w:insideH w:val="single" w:color="D4DAE0" w:sz="4"/>
          <w:insideV w:val="single" w:color="D4DAE0" w:sz="4"/>
        </w:tblBorders>
      </w:tblPr>
      <w:tblGrid>
        <w:gridCol w:w="1900"/>
        <w:gridCol w:w="4700"/>
      </w:tblGrid>
      <w:tr>
        <w:tc>
          <w:tcPr>
            <w:tcW w:type="dxa" w:w="1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7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Document ID</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PRO-BEC-001</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title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Business Email Compromise Response Playbook</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Version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1.0</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Status</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[Draft / Approved]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Effective date</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owner</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[Owner Name, Role]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Approved by</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[Approver Name, Role]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Approval date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Next review</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[Date, no more than 12 months from 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Classification</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Internal Use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Distribution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[Who this is issued to]</w:t>
            </w:r>
          </w:p>
        </w:tc>
      </w:tr>
    </w:tbl>
    <w:p>
      <w:pPr>
        <w:pBdr>
          <w:top w:val="single" w:color="D4DAE0" w:sz="4" w:space="8"/>
        </w:pBdr>
        <w:spacing w:after="0" w:before="700" w:line="252"/>
      </w:pPr>
      <w:r>
        <w:rPr>
          <w:i/>
          <w:iCs/>
          <w:color w:val="60686F"/>
          <w:sz w:val="16"/>
          <w:szCs w:val="16"/>
        </w:rPr>
        <w:t xml:space="preserve">This document and all information contained in it is the property of [Organization Name]. Replace every bracketed field before issue, delete any clause that does not apply to your organization, and have it approved by a person with authority to do so. An unapproved, undated policy is not a control.</w:t>
      </w:r>
    </w:p>
    <w:p>
      <w:pPr>
        <w:pageBreakBefore/>
        <w:spacing w:after="160"/>
      </w:pPr>
      <w:r>
        <w:rPr>
          <w:b/>
          <w:bCs/>
          <w:color w:val="15314B"/>
          <w:sz w:val="27"/>
          <w:szCs w:val="27"/>
        </w:rPr>
        <w:t xml:space="preserve">Table of Contents</w:t>
      </w:r>
    </w:p>
    <w:p>
      <w:pPr>
        <w:pStyle w:val="TOC1"/>
        <w:tabs>
          <w:tab w:val="right" w:leader="dot" w:pos="9746"/>
        </w:tabs>
        <w:spacing w:after="12" w:line="240" w:lineRule="auto"/>
        <w:rPr>
          <w:noProof/>
        </w:rPr>
      </w:pPr>
      <w:r>
        <w:rPr>
          <w:noProof/>
        </w:rPr>
        <w:fldChar w:fldCharType="begin"/>
      </w:r>
      <w:r>
        <w:rPr>
          <w:noProof/>
        </w:rPr>
        <w:instrText xml:space="preserve"> TOC \o "1-2" \h \z \u </w:instrText>
      </w:r>
      <w:r>
        <w:rPr>
          <w:noProof/>
        </w:rPr>
        <w:fldChar w:fldCharType="separate"/>
      </w:r>
      <w:hyperlink w:anchor="_RG0001" w:history="1">
        <w:r>
          <w:rPr>
            <w:noProof/>
            <w:sz w:val="17"/>
          </w:rPr>
          <w:t xml:space="preserve">Executive summary</w:t>
        </w:r>
        <w:r>
          <w:rPr>
            <w:noProof/>
            <w:sz w:val="17"/>
          </w:rPr>
          <w:tab/>
        </w:r>
        <w:r>
          <w:rPr>
            <w:noProof/>
          </w:rPr>
          <w:fldChar w:fldCharType="begin"/>
        </w:r>
        <w:r>
          <w:rPr>
            <w:noProof/>
          </w:rPr>
          <w:instrText xml:space="preserve"> PAGEREF _RG0001 \h </w:instrText>
        </w:r>
        <w:r>
          <w:rPr>
            <w:noProof/>
          </w:rPr>
          <w:fldChar w:fldCharType="separate"/>
        </w:r>
        <w:r>
          <w:rPr>
            <w:noProof/>
            <w:sz w:val="17"/>
          </w:rPr>
          <w:t>3</w:t>
        </w:r>
        <w:r>
          <w:rPr>
            <w:noProof/>
          </w:rPr>
          <w:fldChar w:fldCharType="end"/>
        </w:r>
      </w:hyperlink>
    </w:p>
    <w:p>
      <w:pPr>
        <w:pStyle w:val="TOC1"/>
        <w:tabs>
          <w:tab w:val="right" w:leader="dot" w:pos="9746"/>
        </w:tabs>
        <w:spacing w:after="12" w:line="240" w:lineRule="auto"/>
        <w:rPr>
          <w:noProof/>
        </w:rPr>
      </w:pPr>
      <w:hyperlink w:anchor="_RG0002" w:history="1">
        <w:r>
          <w:rPr>
            <w:noProof/>
            <w:sz w:val="17"/>
          </w:rPr>
          <w:t xml:space="preserve">1.  Purpose, scope and relationship to the incident response plan</w:t>
        </w:r>
        <w:r>
          <w:rPr>
            <w:noProof/>
            <w:sz w:val="17"/>
          </w:rPr>
          <w:tab/>
        </w:r>
        <w:r>
          <w:rPr>
            <w:noProof/>
          </w:rPr>
          <w:fldChar w:fldCharType="begin"/>
        </w:r>
        <w:r>
          <w:rPr>
            <w:noProof/>
          </w:rPr>
          <w:instrText xml:space="preserve"> PAGEREF _RG0002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3" w:history="1">
        <w:r>
          <w:rPr>
            <w:noProof/>
            <w:sz w:val="17"/>
          </w:rPr>
          <w:t xml:space="preserve">1.1  Scope</w:t>
        </w:r>
        <w:r>
          <w:rPr>
            <w:noProof/>
            <w:sz w:val="17"/>
          </w:rPr>
          <w:tab/>
        </w:r>
        <w:r>
          <w:rPr>
            <w:noProof/>
          </w:rPr>
          <w:fldChar w:fldCharType="begin"/>
        </w:r>
        <w:r>
          <w:rPr>
            <w:noProof/>
          </w:rPr>
          <w:instrText xml:space="preserve"> PAGEREF _RG0003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4" w:history="1">
        <w:r>
          <w:rPr>
            <w:noProof/>
            <w:sz w:val="17"/>
          </w:rPr>
          <w:t xml:space="preserve">1.2  Relationship to PLN-IR-001</w:t>
        </w:r>
        <w:r>
          <w:rPr>
            <w:noProof/>
            <w:sz w:val="17"/>
          </w:rPr>
          <w:tab/>
        </w:r>
        <w:r>
          <w:rPr>
            <w:noProof/>
          </w:rPr>
          <w:fldChar w:fldCharType="begin"/>
        </w:r>
        <w:r>
          <w:rPr>
            <w:noProof/>
          </w:rPr>
          <w:instrText xml:space="preserve"> PAGEREF _RG0004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5" w:history="1">
        <w:r>
          <w:rPr>
            <w:noProof/>
            <w:sz w:val="17"/>
          </w:rPr>
          <w:t xml:space="preserve">1.3  Incident response model</w:t>
        </w:r>
        <w:r>
          <w:rPr>
            <w:noProof/>
            <w:sz w:val="17"/>
          </w:rPr>
          <w:tab/>
        </w:r>
        <w:r>
          <w:rPr>
            <w:noProof/>
          </w:rPr>
          <w:fldChar w:fldCharType="begin"/>
        </w:r>
        <w:r>
          <w:rPr>
            <w:noProof/>
          </w:rPr>
          <w:instrText xml:space="preserve"> PAGEREF _RG0005 \h </w:instrText>
        </w:r>
        <w:r>
          <w:rPr>
            <w:noProof/>
          </w:rPr>
          <w:fldChar w:fldCharType="separate"/>
        </w:r>
        <w:r>
          <w:rPr>
            <w:noProof/>
            <w:sz w:val="17"/>
          </w:rPr>
          <w:t>4</w:t>
        </w:r>
        <w:r>
          <w:rPr>
            <w:noProof/>
          </w:rPr>
          <w:fldChar w:fldCharType="end"/>
        </w:r>
      </w:hyperlink>
    </w:p>
    <w:p>
      <w:pPr>
        <w:pStyle w:val="TOC1"/>
        <w:tabs>
          <w:tab w:val="right" w:leader="dot" w:pos="9746"/>
        </w:tabs>
        <w:spacing w:after="12" w:line="240" w:lineRule="auto"/>
        <w:rPr>
          <w:noProof/>
        </w:rPr>
      </w:pPr>
      <w:hyperlink w:anchor="_RG0006" w:history="1">
        <w:r>
          <w:rPr>
            <w:noProof/>
            <w:sz w:val="17"/>
          </w:rPr>
          <w:t xml:space="preserve">2.  Principles</w:t>
        </w:r>
        <w:r>
          <w:rPr>
            <w:noProof/>
            <w:sz w:val="17"/>
          </w:rPr>
          <w:tab/>
        </w:r>
        <w:r>
          <w:rPr>
            <w:noProof/>
          </w:rPr>
          <w:fldChar w:fldCharType="begin"/>
        </w:r>
        <w:r>
          <w:rPr>
            <w:noProof/>
          </w:rPr>
          <w:instrText xml:space="preserve"> PAGEREF _RG0006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7" w:history="1">
        <w:r>
          <w:rPr>
            <w:noProof/>
            <w:sz w:val="17"/>
          </w:rPr>
          <w:t xml:space="preserve">3.  Recognition and declaration</w:t>
        </w:r>
        <w:r>
          <w:rPr>
            <w:noProof/>
            <w:sz w:val="17"/>
          </w:rPr>
          <w:tab/>
        </w:r>
        <w:r>
          <w:rPr>
            <w:noProof/>
          </w:rPr>
          <w:fldChar w:fldCharType="begin"/>
        </w:r>
        <w:r>
          <w:rPr>
            <w:noProof/>
          </w:rPr>
          <w:instrText xml:space="preserve"> PAGEREF _RG0007 \h </w:instrText>
        </w:r>
        <w:r>
          <w:rPr>
            <w:noProof/>
          </w:rPr>
          <w:fldChar w:fldCharType="separate"/>
        </w:r>
        <w:r>
          <w:rPr>
            <w:noProof/>
            <w:sz w:val="17"/>
          </w:rPr>
          <w:t>5</w:t>
        </w:r>
        <w:r>
          <w:rPr>
            <w:noProof/>
          </w:rPr>
          <w:fldChar w:fldCharType="end"/>
        </w:r>
      </w:hyperlink>
    </w:p>
    <w:p>
      <w:pPr>
        <w:pStyle w:val="TOC2"/>
        <w:tabs>
          <w:tab w:val="right" w:leader="dot" w:pos="9746"/>
        </w:tabs>
        <w:spacing w:after="12" w:line="240" w:lineRule="auto"/>
        <w:ind w:left="220"/>
        <w:rPr>
          <w:noProof/>
        </w:rPr>
      </w:pPr>
      <w:hyperlink w:anchor="_RG0008" w:history="1">
        <w:r>
          <w:rPr>
            <w:noProof/>
            <w:sz w:val="17"/>
          </w:rPr>
          <w:t xml:space="preserve">3.1  Signals of a fraudulent payment request</w:t>
        </w:r>
        <w:r>
          <w:rPr>
            <w:noProof/>
            <w:sz w:val="17"/>
          </w:rPr>
          <w:tab/>
        </w:r>
        <w:r>
          <w:rPr>
            <w:noProof/>
          </w:rPr>
          <w:fldChar w:fldCharType="begin"/>
        </w:r>
        <w:r>
          <w:rPr>
            <w:noProof/>
          </w:rPr>
          <w:instrText xml:space="preserve"> PAGEREF _RG0008 \h </w:instrText>
        </w:r>
        <w:r>
          <w:rPr>
            <w:noProof/>
          </w:rPr>
          <w:fldChar w:fldCharType="separate"/>
        </w:r>
        <w:r>
          <w:rPr>
            <w:noProof/>
            <w:sz w:val="17"/>
          </w:rPr>
          <w:t>5</w:t>
        </w:r>
        <w:r>
          <w:rPr>
            <w:noProof/>
          </w:rPr>
          <w:fldChar w:fldCharType="end"/>
        </w:r>
      </w:hyperlink>
    </w:p>
    <w:p>
      <w:pPr>
        <w:pStyle w:val="TOC2"/>
        <w:tabs>
          <w:tab w:val="right" w:leader="dot" w:pos="9746"/>
        </w:tabs>
        <w:spacing w:after="12" w:line="240" w:lineRule="auto"/>
        <w:ind w:left="220"/>
        <w:rPr>
          <w:noProof/>
        </w:rPr>
      </w:pPr>
      <w:hyperlink w:anchor="_RG0009" w:history="1">
        <w:r>
          <w:rPr>
            <w:noProof/>
            <w:sz w:val="17"/>
          </w:rPr>
          <w:t xml:space="preserve">3.2  Signals of a compromised mailbox</w:t>
        </w:r>
        <w:r>
          <w:rPr>
            <w:noProof/>
            <w:sz w:val="17"/>
          </w:rPr>
          <w:tab/>
        </w:r>
        <w:r>
          <w:rPr>
            <w:noProof/>
          </w:rPr>
          <w:fldChar w:fldCharType="begin"/>
        </w:r>
        <w:r>
          <w:rPr>
            <w:noProof/>
          </w:rPr>
          <w:instrText xml:space="preserve"> PAGEREF _RG0009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10" w:history="1">
        <w:r>
          <w:rPr>
            <w:noProof/>
            <w:sz w:val="17"/>
          </w:rPr>
          <w:t xml:space="preserve">3.3  Declaration and classification</w:t>
        </w:r>
        <w:r>
          <w:rPr>
            <w:noProof/>
            <w:sz w:val="17"/>
          </w:rPr>
          <w:tab/>
        </w:r>
        <w:r>
          <w:rPr>
            <w:noProof/>
          </w:rPr>
          <w:fldChar w:fldCharType="begin"/>
        </w:r>
        <w:r>
          <w:rPr>
            <w:noProof/>
          </w:rPr>
          <w:instrText xml:space="preserve"> PAGEREF _RG0010 \h </w:instrText>
        </w:r>
        <w:r>
          <w:rPr>
            <w:noProof/>
          </w:rPr>
          <w:fldChar w:fldCharType="separate"/>
        </w:r>
        <w:r>
          <w:rPr>
            <w:noProof/>
            <w:sz w:val="17"/>
          </w:rPr>
          <w:t>6</w:t>
        </w:r>
        <w:r>
          <w:rPr>
            <w:noProof/>
          </w:rPr>
          <w:fldChar w:fldCharType="end"/>
        </w:r>
      </w:hyperlink>
    </w:p>
    <w:p>
      <w:pPr>
        <w:pStyle w:val="TOC1"/>
        <w:tabs>
          <w:tab w:val="right" w:leader="dot" w:pos="9746"/>
        </w:tabs>
        <w:spacing w:after="12" w:line="240" w:lineRule="auto"/>
        <w:rPr>
          <w:noProof/>
        </w:rPr>
      </w:pPr>
      <w:hyperlink w:anchor="_RG0011" w:history="1">
        <w:r>
          <w:rPr>
            <w:noProof/>
            <w:sz w:val="17"/>
          </w:rPr>
          <w:t xml:space="preserve">4.  Fraudulent payment response</w:t>
        </w:r>
        <w:r>
          <w:rPr>
            <w:noProof/>
            <w:sz w:val="17"/>
          </w:rPr>
          <w:tab/>
        </w:r>
        <w:r>
          <w:rPr>
            <w:noProof/>
          </w:rPr>
          <w:fldChar w:fldCharType="begin"/>
        </w:r>
        <w:r>
          <w:rPr>
            <w:noProof/>
          </w:rPr>
          <w:instrText xml:space="preserve"> PAGEREF _RG0011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2" w:history="1">
        <w:r>
          <w:rPr>
            <w:noProof/>
            <w:sz w:val="17"/>
          </w:rPr>
          <w:t xml:space="preserve">4.1  First hour: fraudulent payment</w:t>
        </w:r>
        <w:r>
          <w:rPr>
            <w:noProof/>
            <w:sz w:val="17"/>
          </w:rPr>
          <w:tab/>
        </w:r>
        <w:r>
          <w:rPr>
            <w:noProof/>
          </w:rPr>
          <w:fldChar w:fldCharType="begin"/>
        </w:r>
        <w:r>
          <w:rPr>
            <w:noProof/>
          </w:rPr>
          <w:instrText xml:space="preserve"> PAGEREF _RG0012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3" w:history="1">
        <w:r>
          <w:rPr>
            <w:noProof/>
            <w:sz w:val="17"/>
          </w:rPr>
          <w:t xml:space="preserve">4.2  Bank contact and recall</w:t>
        </w:r>
        <w:r>
          <w:rPr>
            <w:noProof/>
            <w:sz w:val="17"/>
          </w:rPr>
          <w:tab/>
        </w:r>
        <w:r>
          <w:rPr>
            <w:noProof/>
          </w:rPr>
          <w:fldChar w:fldCharType="begin"/>
        </w:r>
        <w:r>
          <w:rPr>
            <w:noProof/>
          </w:rPr>
          <w:instrText xml:space="preserve"> PAGEREF _RG0013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4" w:history="1">
        <w:r>
          <w:rPr>
            <w:noProof/>
            <w:sz w:val="17"/>
          </w:rPr>
          <w:t xml:space="preserve">4.3  Reporting to IC3 and law enforcement</w:t>
        </w:r>
        <w:r>
          <w:rPr>
            <w:noProof/>
            <w:sz w:val="17"/>
          </w:rPr>
          <w:tab/>
        </w:r>
        <w:r>
          <w:rPr>
            <w:noProof/>
          </w:rPr>
          <w:fldChar w:fldCharType="begin"/>
        </w:r>
        <w:r>
          <w:rPr>
            <w:noProof/>
          </w:rPr>
          <w:instrText xml:space="preserve"> PAGEREF _RG0014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5" w:history="1">
        <w:r>
          <w:rPr>
            <w:noProof/>
            <w:sz w:val="17"/>
          </w:rPr>
          <w:t xml:space="preserve">4.4  Preserving the evidence</w:t>
        </w:r>
        <w:r>
          <w:rPr>
            <w:noProof/>
            <w:sz w:val="17"/>
          </w:rPr>
          <w:tab/>
        </w:r>
        <w:r>
          <w:rPr>
            <w:noProof/>
          </w:rPr>
          <w:fldChar w:fldCharType="begin"/>
        </w:r>
        <w:r>
          <w:rPr>
            <w:noProof/>
          </w:rPr>
          <w:instrText xml:space="preserve"> PAGEREF _RG0015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6" w:history="1">
        <w:r>
          <w:rPr>
            <w:noProof/>
            <w:sz w:val="17"/>
          </w:rPr>
          <w:t xml:space="preserve">4.5  Insurer notification</w:t>
        </w:r>
        <w:r>
          <w:rPr>
            <w:noProof/>
            <w:sz w:val="17"/>
          </w:rPr>
          <w:tab/>
        </w:r>
        <w:r>
          <w:rPr>
            <w:noProof/>
          </w:rPr>
          <w:fldChar w:fldCharType="begin"/>
        </w:r>
        <w:r>
          <w:rPr>
            <w:noProof/>
          </w:rPr>
          <w:instrText xml:space="preserve"> PAGEREF _RG0016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7" w:history="1">
        <w:r>
          <w:rPr>
            <w:noProof/>
            <w:sz w:val="17"/>
          </w:rPr>
          <w:t xml:space="preserve">4.6  Hours 1 to 72</w:t>
        </w:r>
        <w:r>
          <w:rPr>
            <w:noProof/>
            <w:sz w:val="17"/>
          </w:rPr>
          <w:tab/>
        </w:r>
        <w:r>
          <w:rPr>
            <w:noProof/>
          </w:rPr>
          <w:fldChar w:fldCharType="begin"/>
        </w:r>
        <w:r>
          <w:rPr>
            <w:noProof/>
          </w:rPr>
          <w:instrText xml:space="preserve"> PAGEREF _RG0017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8" w:history="1">
        <w:r>
          <w:rPr>
            <w:noProof/>
            <w:sz w:val="17"/>
          </w:rPr>
          <w:t xml:space="preserve">4.7  When funds are not recovered</w:t>
        </w:r>
        <w:r>
          <w:rPr>
            <w:noProof/>
            <w:sz w:val="17"/>
          </w:rPr>
          <w:tab/>
        </w:r>
        <w:r>
          <w:rPr>
            <w:noProof/>
          </w:rPr>
          <w:fldChar w:fldCharType="begin"/>
        </w:r>
        <w:r>
          <w:rPr>
            <w:noProof/>
          </w:rPr>
          <w:instrText xml:space="preserve"> PAGEREF _RG0018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19" w:history="1">
        <w:r>
          <w:rPr>
            <w:noProof/>
            <w:sz w:val="17"/>
          </w:rPr>
          <w:t xml:space="preserve">5.  Account takeover containment</w:t>
        </w:r>
        <w:r>
          <w:rPr>
            <w:noProof/>
            <w:sz w:val="17"/>
          </w:rPr>
          <w:tab/>
        </w:r>
        <w:r>
          <w:rPr>
            <w:noProof/>
          </w:rPr>
          <w:fldChar w:fldCharType="begin"/>
        </w:r>
        <w:r>
          <w:rPr>
            <w:noProof/>
          </w:rPr>
          <w:instrText xml:space="preserve"> PAGEREF _RG0019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0" w:history="1">
        <w:r>
          <w:rPr>
            <w:noProof/>
            <w:sz w:val="17"/>
          </w:rPr>
          <w:t xml:space="preserve">5.1  First hour: account takeover</w:t>
        </w:r>
        <w:r>
          <w:rPr>
            <w:noProof/>
            <w:sz w:val="17"/>
          </w:rPr>
          <w:tab/>
        </w:r>
        <w:r>
          <w:rPr>
            <w:noProof/>
          </w:rPr>
          <w:fldChar w:fldCharType="begin"/>
        </w:r>
        <w:r>
          <w:rPr>
            <w:noProof/>
          </w:rPr>
          <w:instrText xml:space="preserve"> PAGEREF _RG0020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1" w:history="1">
        <w:r>
          <w:rPr>
            <w:noProof/>
            <w:sz w:val="17"/>
          </w:rPr>
          <w:t xml:space="preserve">5.2  Platform examples</w:t>
        </w:r>
        <w:r>
          <w:rPr>
            <w:noProof/>
            <w:sz w:val="17"/>
          </w:rPr>
          <w:tab/>
        </w:r>
        <w:r>
          <w:rPr>
            <w:noProof/>
          </w:rPr>
          <w:fldChar w:fldCharType="begin"/>
        </w:r>
        <w:r>
          <w:rPr>
            <w:noProof/>
          </w:rPr>
          <w:instrText xml:space="preserve"> PAGEREF _RG0021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2" w:history="1">
        <w:r>
          <w:rPr>
            <w:noProof/>
            <w:sz w:val="17"/>
          </w:rPr>
          <w:t xml:space="preserve">5.3  Persistence checks in detail</w:t>
        </w:r>
        <w:r>
          <w:rPr>
            <w:noProof/>
            <w:sz w:val="17"/>
          </w:rPr>
          <w:tab/>
        </w:r>
        <w:r>
          <w:rPr>
            <w:noProof/>
          </w:rPr>
          <w:fldChar w:fldCharType="begin"/>
        </w:r>
        <w:r>
          <w:rPr>
            <w:noProof/>
          </w:rPr>
          <w:instrText xml:space="preserve"> PAGEREF _RG0022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3" w:history="1">
        <w:r>
          <w:rPr>
            <w:noProof/>
            <w:sz w:val="17"/>
          </w:rPr>
          <w:t xml:space="preserve">5.4  Mailbox auditing</w:t>
        </w:r>
        <w:r>
          <w:rPr>
            <w:noProof/>
            <w:sz w:val="17"/>
          </w:rPr>
          <w:tab/>
        </w:r>
        <w:r>
          <w:rPr>
            <w:noProof/>
          </w:rPr>
          <w:fldChar w:fldCharType="begin"/>
        </w:r>
        <w:r>
          <w:rPr>
            <w:noProof/>
          </w:rPr>
          <w:instrText xml:space="preserve"> PAGEREF _RG0023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4" w:history="1">
        <w:r>
          <w:rPr>
            <w:noProof/>
            <w:sz w:val="17"/>
          </w:rPr>
          <w:t xml:space="preserve">5.5  Confirming containment</w:t>
        </w:r>
        <w:r>
          <w:rPr>
            <w:noProof/>
            <w:sz w:val="17"/>
          </w:rPr>
          <w:tab/>
        </w:r>
        <w:r>
          <w:rPr>
            <w:noProof/>
          </w:rPr>
          <w:fldChar w:fldCharType="begin"/>
        </w:r>
        <w:r>
          <w:rPr>
            <w:noProof/>
          </w:rPr>
          <w:instrText xml:space="preserve"> PAGEREF _RG0024 \h </w:instrText>
        </w:r>
        <w:r>
          <w:rPr>
            <w:noProof/>
          </w:rPr>
          <w:fldChar w:fldCharType="separate"/>
        </w:r>
        <w:r>
          <w:rPr>
            <w:noProof/>
            <w:sz w:val="17"/>
          </w:rPr>
          <w:t>12</w:t>
        </w:r>
        <w:r>
          <w:rPr>
            <w:noProof/>
          </w:rPr>
          <w:fldChar w:fldCharType="end"/>
        </w:r>
      </w:hyperlink>
    </w:p>
    <w:p>
      <w:pPr>
        <w:pStyle w:val="TOC1"/>
        <w:tabs>
          <w:tab w:val="right" w:leader="dot" w:pos="9746"/>
        </w:tabs>
        <w:spacing w:after="12" w:line="240" w:lineRule="auto"/>
        <w:rPr>
          <w:noProof/>
        </w:rPr>
      </w:pPr>
      <w:hyperlink w:anchor="_RG0025" w:history="1">
        <w:r>
          <w:rPr>
            <w:noProof/>
            <w:sz w:val="17"/>
          </w:rPr>
          <w:t xml:space="preserve">6.  Scoping the compromise</w:t>
        </w:r>
        <w:r>
          <w:rPr>
            <w:noProof/>
            <w:sz w:val="17"/>
          </w:rPr>
          <w:tab/>
        </w:r>
        <w:r>
          <w:rPr>
            <w:noProof/>
          </w:rPr>
          <w:fldChar w:fldCharType="begin"/>
        </w:r>
        <w:r>
          <w:rPr>
            <w:noProof/>
          </w:rPr>
          <w:instrText xml:space="preserve"> PAGEREF _RG0025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6" w:history="1">
        <w:r>
          <w:rPr>
            <w:noProof/>
            <w:sz w:val="17"/>
          </w:rPr>
          <w:t xml:space="preserve">6.1  When access began</w:t>
        </w:r>
        <w:r>
          <w:rPr>
            <w:noProof/>
            <w:sz w:val="17"/>
          </w:rPr>
          <w:tab/>
        </w:r>
        <w:r>
          <w:rPr>
            <w:noProof/>
          </w:rPr>
          <w:fldChar w:fldCharType="begin"/>
        </w:r>
        <w:r>
          <w:rPr>
            <w:noProof/>
          </w:rPr>
          <w:instrText xml:space="preserve"> PAGEREF _RG0026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7" w:history="1">
        <w:r>
          <w:rPr>
            <w:noProof/>
            <w:sz w:val="17"/>
          </w:rPr>
          <w:t xml:space="preserve">6.2  What was read</w:t>
        </w:r>
        <w:r>
          <w:rPr>
            <w:noProof/>
            <w:sz w:val="17"/>
          </w:rPr>
          <w:tab/>
        </w:r>
        <w:r>
          <w:rPr>
            <w:noProof/>
          </w:rPr>
          <w:fldChar w:fldCharType="begin"/>
        </w:r>
        <w:r>
          <w:rPr>
            <w:noProof/>
          </w:rPr>
          <w:instrText xml:space="preserve"> PAGEREF _RG0027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8" w:history="1">
        <w:r>
          <w:rPr>
            <w:noProof/>
            <w:sz w:val="17"/>
          </w:rPr>
          <w:t xml:space="preserve">6.3  What was sent</w:t>
        </w:r>
        <w:r>
          <w:rPr>
            <w:noProof/>
            <w:sz w:val="17"/>
          </w:rPr>
          <w:tab/>
        </w:r>
        <w:r>
          <w:rPr>
            <w:noProof/>
          </w:rPr>
          <w:fldChar w:fldCharType="begin"/>
        </w:r>
        <w:r>
          <w:rPr>
            <w:noProof/>
          </w:rPr>
          <w:instrText xml:space="preserve"> PAGEREF _RG0028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9" w:history="1">
        <w:r>
          <w:rPr>
            <w:noProof/>
            <w:sz w:val="17"/>
          </w:rPr>
          <w:t xml:space="preserve">6.4  Who was contacted, and from where</w:t>
        </w:r>
        <w:r>
          <w:rPr>
            <w:noProof/>
            <w:sz w:val="17"/>
          </w:rPr>
          <w:tab/>
        </w:r>
        <w:r>
          <w:rPr>
            <w:noProof/>
          </w:rPr>
          <w:fldChar w:fldCharType="begin"/>
        </w:r>
        <w:r>
          <w:rPr>
            <w:noProof/>
          </w:rPr>
          <w:instrText xml:space="preserve"> PAGEREF _RG0029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30" w:history="1">
        <w:r>
          <w:rPr>
            <w:noProof/>
            <w:sz w:val="17"/>
          </w:rPr>
          <w:t xml:space="preserve">6.5  Other accounts</w:t>
        </w:r>
        <w:r>
          <w:rPr>
            <w:noProof/>
            <w:sz w:val="17"/>
          </w:rPr>
          <w:tab/>
        </w:r>
        <w:r>
          <w:rPr>
            <w:noProof/>
          </w:rPr>
          <w:fldChar w:fldCharType="begin"/>
        </w:r>
        <w:r>
          <w:rPr>
            <w:noProof/>
          </w:rPr>
          <w:instrText xml:space="preserve"> PAGEREF _RG0030 \h </w:instrText>
        </w:r>
        <w:r>
          <w:rPr>
            <w:noProof/>
          </w:rPr>
          <w:fldChar w:fldCharType="separate"/>
        </w:r>
        <w:r>
          <w:rPr>
            <w:noProof/>
            <w:sz w:val="17"/>
          </w:rPr>
          <w:t>14</w:t>
        </w:r>
        <w:r>
          <w:rPr>
            <w:noProof/>
          </w:rPr>
          <w:fldChar w:fldCharType="end"/>
        </w:r>
      </w:hyperlink>
    </w:p>
    <w:p>
      <w:pPr>
        <w:pStyle w:val="TOC1"/>
        <w:tabs>
          <w:tab w:val="right" w:leader="dot" w:pos="9746"/>
        </w:tabs>
        <w:spacing w:after="12" w:line="240" w:lineRule="auto"/>
        <w:rPr>
          <w:noProof/>
        </w:rPr>
      </w:pPr>
      <w:hyperlink w:anchor="_RG0031" w:history="1">
        <w:r>
          <w:rPr>
            <w:noProof/>
            <w:sz w:val="17"/>
          </w:rPr>
          <w:t xml:space="preserve">7.  Notifying customers and suppliers</w:t>
        </w:r>
        <w:r>
          <w:rPr>
            <w:noProof/>
            <w:sz w:val="17"/>
          </w:rPr>
          <w:tab/>
        </w:r>
        <w:r>
          <w:rPr>
            <w:noProof/>
          </w:rPr>
          <w:fldChar w:fldCharType="begin"/>
        </w:r>
        <w:r>
          <w:rPr>
            <w:noProof/>
          </w:rPr>
          <w:instrText xml:space="preserve"> PAGEREF _RG0031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2" w:history="1">
        <w:r>
          <w:rPr>
            <w:noProof/>
            <w:sz w:val="17"/>
          </w:rPr>
          <w:t xml:space="preserve">7.1  Who is notified</w:t>
        </w:r>
        <w:r>
          <w:rPr>
            <w:noProof/>
            <w:sz w:val="17"/>
          </w:rPr>
          <w:tab/>
        </w:r>
        <w:r>
          <w:rPr>
            <w:noProof/>
          </w:rPr>
          <w:fldChar w:fldCharType="begin"/>
        </w:r>
        <w:r>
          <w:rPr>
            <w:noProof/>
          </w:rPr>
          <w:instrText xml:space="preserve"> PAGEREF _RG0032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3" w:history="1">
        <w:r>
          <w:rPr>
            <w:noProof/>
            <w:sz w:val="17"/>
          </w:rPr>
          <w:t xml:space="preserve">7.2  Procedure</w:t>
        </w:r>
        <w:r>
          <w:rPr>
            <w:noProof/>
            <w:sz w:val="17"/>
          </w:rPr>
          <w:tab/>
        </w:r>
        <w:r>
          <w:rPr>
            <w:noProof/>
          </w:rPr>
          <w:fldChar w:fldCharType="begin"/>
        </w:r>
        <w:r>
          <w:rPr>
            <w:noProof/>
          </w:rPr>
          <w:instrText xml:space="preserve"> PAGEREF _RG0033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34" w:history="1">
        <w:r>
          <w:rPr>
            <w:noProof/>
            <w:sz w:val="17"/>
          </w:rPr>
          <w:t xml:space="preserve">7.3  When the organization's domain was used against its customers</w:t>
        </w:r>
        <w:r>
          <w:rPr>
            <w:noProof/>
            <w:sz w:val="17"/>
          </w:rPr>
          <w:tab/>
        </w:r>
        <w:r>
          <w:rPr>
            <w:noProof/>
          </w:rPr>
          <w:fldChar w:fldCharType="begin"/>
        </w:r>
        <w:r>
          <w:rPr>
            <w:noProof/>
          </w:rPr>
          <w:instrText xml:space="preserve"> PAGEREF _RG0034 \h </w:instrText>
        </w:r>
        <w:r>
          <w:rPr>
            <w:noProof/>
          </w:rPr>
          <w:fldChar w:fldCharType="separate"/>
        </w:r>
        <w:r>
          <w:rPr>
            <w:noProof/>
            <w:sz w:val="17"/>
          </w:rPr>
          <w:t>15</w:t>
        </w:r>
        <w:r>
          <w:rPr>
            <w:noProof/>
          </w:rPr>
          <w:fldChar w:fldCharType="end"/>
        </w:r>
      </w:hyperlink>
    </w:p>
    <w:p>
      <w:pPr>
        <w:pStyle w:val="TOC1"/>
        <w:tabs>
          <w:tab w:val="right" w:leader="dot" w:pos="9746"/>
        </w:tabs>
        <w:spacing w:after="12" w:line="240" w:lineRule="auto"/>
        <w:rPr>
          <w:noProof/>
        </w:rPr>
      </w:pPr>
      <w:hyperlink w:anchor="_RG0035" w:history="1">
        <w:r>
          <w:rPr>
            <w:noProof/>
            <w:sz w:val="17"/>
          </w:rPr>
          <w:t xml:space="preserve">8.  Data breach assessment</w:t>
        </w:r>
        <w:r>
          <w:rPr>
            <w:noProof/>
            <w:sz w:val="17"/>
          </w:rPr>
          <w:tab/>
        </w:r>
        <w:r>
          <w:rPr>
            <w:noProof/>
          </w:rPr>
          <w:fldChar w:fldCharType="begin"/>
        </w:r>
        <w:r>
          <w:rPr>
            <w:noProof/>
          </w:rPr>
          <w:instrText xml:space="preserve"> PAGEREF _RG0035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6" w:history="1">
        <w:r>
          <w:rPr>
            <w:noProof/>
            <w:sz w:val="17"/>
          </w:rPr>
          <w:t xml:space="preserve">8.1  When counsel is engaged</w:t>
        </w:r>
        <w:r>
          <w:rPr>
            <w:noProof/>
            <w:sz w:val="17"/>
          </w:rPr>
          <w:tab/>
        </w:r>
        <w:r>
          <w:rPr>
            <w:noProof/>
          </w:rPr>
          <w:fldChar w:fldCharType="begin"/>
        </w:r>
        <w:r>
          <w:rPr>
            <w:noProof/>
          </w:rPr>
          <w:instrText xml:space="preserve"> PAGEREF _RG0036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7" w:history="1">
        <w:r>
          <w:rPr>
            <w:noProof/>
            <w:sz w:val="17"/>
          </w:rPr>
          <w:t xml:space="preserve">8.2  What the incident team provides to counsel</w:t>
        </w:r>
        <w:r>
          <w:rPr>
            <w:noProof/>
            <w:sz w:val="17"/>
          </w:rPr>
          <w:tab/>
        </w:r>
        <w:r>
          <w:rPr>
            <w:noProof/>
          </w:rPr>
          <w:fldChar w:fldCharType="begin"/>
        </w:r>
        <w:r>
          <w:rPr>
            <w:noProof/>
          </w:rPr>
          <w:instrText xml:space="preserve"> PAGEREF _RG0037 \h </w:instrText>
        </w:r>
        <w:r>
          <w:rPr>
            <w:noProof/>
          </w:rPr>
          <w:fldChar w:fldCharType="separate"/>
        </w:r>
        <w:r>
          <w:rPr>
            <w:noProof/>
            <w:sz w:val="17"/>
          </w:rPr>
          <w:t>15</w:t>
        </w:r>
        <w:r>
          <w:rPr>
            <w:noProof/>
          </w:rPr>
          <w:fldChar w:fldCharType="end"/>
        </w:r>
      </w:hyperlink>
    </w:p>
    <w:p>
      <w:pPr>
        <w:pStyle w:val="TOC1"/>
        <w:tabs>
          <w:tab w:val="right" w:leader="dot" w:pos="9746"/>
        </w:tabs>
        <w:spacing w:after="12" w:line="240" w:lineRule="auto"/>
        <w:rPr>
          <w:noProof/>
        </w:rPr>
      </w:pPr>
      <w:hyperlink w:anchor="_RG0038" w:history="1">
        <w:r>
          <w:rPr>
            <w:noProof/>
            <w:sz w:val="17"/>
          </w:rPr>
          <w:t xml:space="preserve">9.  Recovery and closure</w:t>
        </w:r>
        <w:r>
          <w:rPr>
            <w:noProof/>
            <w:sz w:val="17"/>
          </w:rPr>
          <w:tab/>
        </w:r>
        <w:r>
          <w:rPr>
            <w:noProof/>
          </w:rPr>
          <w:fldChar w:fldCharType="begin"/>
        </w:r>
        <w:r>
          <w:rPr>
            <w:noProof/>
          </w:rPr>
          <w:instrText xml:space="preserve"> PAGEREF _RG0038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9" w:history="1">
        <w:r>
          <w:rPr>
            <w:noProof/>
            <w:sz w:val="17"/>
          </w:rPr>
          <w:t xml:space="preserve">10.  Payment control hardening</w:t>
        </w:r>
        <w:r>
          <w:rPr>
            <w:noProof/>
            <w:sz w:val="17"/>
          </w:rPr>
          <w:tab/>
        </w:r>
        <w:r>
          <w:rPr>
            <w:noProof/>
          </w:rPr>
          <w:fldChar w:fldCharType="begin"/>
        </w:r>
        <w:r>
          <w:rPr>
            <w:noProof/>
          </w:rPr>
          <w:instrText xml:space="preserve"> PAGEREF _RG0039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0" w:history="1">
        <w:r>
          <w:rPr>
            <w:noProof/>
            <w:sz w:val="17"/>
          </w:rPr>
          <w:t xml:space="preserve">10.1  Out-of-band verification of bank detail changes</w:t>
        </w:r>
        <w:r>
          <w:rPr>
            <w:noProof/>
            <w:sz w:val="17"/>
          </w:rPr>
          <w:tab/>
        </w:r>
        <w:r>
          <w:rPr>
            <w:noProof/>
          </w:rPr>
          <w:fldChar w:fldCharType="begin"/>
        </w:r>
        <w:r>
          <w:rPr>
            <w:noProof/>
          </w:rPr>
          <w:instrText xml:space="preserve"> PAGEREF _RG0040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1" w:history="1">
        <w:r>
          <w:rPr>
            <w:noProof/>
            <w:sz w:val="17"/>
          </w:rPr>
          <w:t xml:space="preserve">10.2  Dual approval</w:t>
        </w:r>
        <w:r>
          <w:rPr>
            <w:noProof/>
            <w:sz w:val="17"/>
          </w:rPr>
          <w:tab/>
        </w:r>
        <w:r>
          <w:rPr>
            <w:noProof/>
          </w:rPr>
          <w:fldChar w:fldCharType="begin"/>
        </w:r>
        <w:r>
          <w:rPr>
            <w:noProof/>
          </w:rPr>
          <w:instrText xml:space="preserve"> PAGEREF _RG0041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2" w:history="1">
        <w:r>
          <w:rPr>
            <w:noProof/>
            <w:sz w:val="17"/>
          </w:rPr>
          <w:t xml:space="preserve">10.3  Cooling-off period for new and changed payees</w:t>
        </w:r>
        <w:r>
          <w:rPr>
            <w:noProof/>
            <w:sz w:val="17"/>
          </w:rPr>
          <w:tab/>
        </w:r>
        <w:r>
          <w:rPr>
            <w:noProof/>
          </w:rPr>
          <w:fldChar w:fldCharType="begin"/>
        </w:r>
        <w:r>
          <w:rPr>
            <w:noProof/>
          </w:rPr>
          <w:instrText xml:space="preserve"> PAGEREF _RG0042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3" w:history="1">
        <w:r>
          <w:rPr>
            <w:noProof/>
            <w:sz w:val="17"/>
          </w:rPr>
          <w:t xml:space="preserve">10.4  Other payment controls</w:t>
        </w:r>
        <w:r>
          <w:rPr>
            <w:noProof/>
            <w:sz w:val="17"/>
          </w:rPr>
          <w:tab/>
        </w:r>
        <w:r>
          <w:rPr>
            <w:noProof/>
          </w:rPr>
          <w:fldChar w:fldCharType="begin"/>
        </w:r>
        <w:r>
          <w:rPr>
            <w:noProof/>
          </w:rPr>
          <w:instrText xml:space="preserve"> PAGEREF _RG0043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44" w:history="1">
        <w:r>
          <w:rPr>
            <w:noProof/>
            <w:sz w:val="17"/>
          </w:rPr>
          <w:t xml:space="preserve">11.  Email authentication and domain protection</w:t>
        </w:r>
        <w:r>
          <w:rPr>
            <w:noProof/>
            <w:sz w:val="17"/>
          </w:rPr>
          <w:tab/>
        </w:r>
        <w:r>
          <w:rPr>
            <w:noProof/>
          </w:rPr>
          <w:fldChar w:fldCharType="begin"/>
        </w:r>
        <w:r>
          <w:rPr>
            <w:noProof/>
          </w:rPr>
          <w:instrText xml:space="preserve"> PAGEREF _RG0044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5" w:history="1">
        <w:r>
          <w:rPr>
            <w:noProof/>
            <w:sz w:val="17"/>
          </w:rPr>
          <w:t xml:space="preserve">11.1  SPF, DKIM and DMARC</w:t>
        </w:r>
        <w:r>
          <w:rPr>
            <w:noProof/>
            <w:sz w:val="17"/>
          </w:rPr>
          <w:tab/>
        </w:r>
        <w:r>
          <w:rPr>
            <w:noProof/>
          </w:rPr>
          <w:fldChar w:fldCharType="begin"/>
        </w:r>
        <w:r>
          <w:rPr>
            <w:noProof/>
          </w:rPr>
          <w:instrText xml:space="preserve"> PAGEREF _RG0045 \h </w:instrText>
        </w:r>
        <w:r>
          <w:rPr>
            <w:noProof/>
          </w:rPr>
          <w:fldChar w:fldCharType="separate"/>
        </w:r>
        <w:r>
          <w:rPr>
            <w:noProof/>
            <w:sz w:val="17"/>
          </w:rPr>
          <w:t>18</w:t>
        </w:r>
        <w:r>
          <w:rPr>
            <w:noProof/>
          </w:rPr>
          <w:fldChar w:fldCharType="end"/>
        </w:r>
      </w:hyperlink>
    </w:p>
    <w:p>
      <w:pPr>
        <w:pStyle w:val="TOC2"/>
        <w:tabs>
          <w:tab w:val="right" w:leader="dot" w:pos="9746"/>
        </w:tabs>
        <w:spacing w:after="12" w:line="240" w:lineRule="auto"/>
        <w:ind w:left="220"/>
        <w:rPr>
          <w:noProof/>
        </w:rPr>
      </w:pPr>
      <w:hyperlink w:anchor="_RG0046" w:history="1">
        <w:r>
          <w:rPr>
            <w:noProof/>
            <w:sz w:val="17"/>
          </w:rPr>
          <w:t xml:space="preserve">11.2  Lookalike domain monitoring</w:t>
        </w:r>
        <w:r>
          <w:rPr>
            <w:noProof/>
            <w:sz w:val="17"/>
          </w:rPr>
          <w:tab/>
        </w:r>
        <w:r>
          <w:rPr>
            <w:noProof/>
          </w:rPr>
          <w:fldChar w:fldCharType="begin"/>
        </w:r>
        <w:r>
          <w:rPr>
            <w:noProof/>
          </w:rPr>
          <w:instrText xml:space="preserve"> PAGEREF _RG0046 \h </w:instrText>
        </w:r>
        <w:r>
          <w:rPr>
            <w:noProof/>
          </w:rPr>
          <w:fldChar w:fldCharType="separate"/>
        </w:r>
        <w:r>
          <w:rPr>
            <w:noProof/>
            <w:sz w:val="17"/>
          </w:rPr>
          <w:t>18</w:t>
        </w:r>
        <w:r>
          <w:rPr>
            <w:noProof/>
          </w:rPr>
          <w:fldChar w:fldCharType="end"/>
        </w:r>
      </w:hyperlink>
    </w:p>
    <w:p>
      <w:pPr>
        <w:pStyle w:val="TOC2"/>
        <w:tabs>
          <w:tab w:val="right" w:leader="dot" w:pos="9746"/>
        </w:tabs>
        <w:spacing w:after="12" w:line="240" w:lineRule="auto"/>
        <w:ind w:left="220"/>
        <w:rPr>
          <w:noProof/>
        </w:rPr>
      </w:pPr>
      <w:hyperlink w:anchor="_RG0047" w:history="1">
        <w:r>
          <w:rPr>
            <w:noProof/>
            <w:sz w:val="17"/>
          </w:rPr>
          <w:t xml:space="preserve">11.3  Mail platform settings</w:t>
        </w:r>
        <w:r>
          <w:rPr>
            <w:noProof/>
            <w:sz w:val="17"/>
          </w:rPr>
          <w:tab/>
        </w:r>
        <w:r>
          <w:rPr>
            <w:noProof/>
          </w:rPr>
          <w:fldChar w:fldCharType="begin"/>
        </w:r>
        <w:r>
          <w:rPr>
            <w:noProof/>
          </w:rPr>
          <w:instrText xml:space="preserve"> PAGEREF _RG0047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8" w:history="1">
        <w:r>
          <w:rPr>
            <w:noProof/>
            <w:sz w:val="17"/>
          </w:rPr>
          <w:t xml:space="preserve">12.  Roles and responsibilities</w:t>
        </w:r>
        <w:r>
          <w:rPr>
            <w:noProof/>
            <w:sz w:val="17"/>
          </w:rPr>
          <w:tab/>
        </w:r>
        <w:r>
          <w:rPr>
            <w:noProof/>
          </w:rPr>
          <w:fldChar w:fldCharType="begin"/>
        </w:r>
        <w:r>
          <w:rPr>
            <w:noProof/>
          </w:rPr>
          <w:instrText xml:space="preserve"> PAGEREF _RG0048 \h </w:instrText>
        </w:r>
        <w:r>
          <w:rPr>
            <w:noProof/>
          </w:rPr>
          <w:fldChar w:fldCharType="separate"/>
        </w:r>
        <w:r>
          <w:rPr>
            <w:noProof/>
            <w:sz w:val="17"/>
          </w:rPr>
          <w:t>19</w:t>
        </w:r>
        <w:r>
          <w:rPr>
            <w:noProof/>
          </w:rPr>
          <w:fldChar w:fldCharType="end"/>
        </w:r>
      </w:hyperlink>
    </w:p>
    <w:p>
      <w:pPr>
        <w:pStyle w:val="TOC1"/>
        <w:tabs>
          <w:tab w:val="right" w:leader="dot" w:pos="9746"/>
        </w:tabs>
        <w:spacing w:after="12" w:line="240" w:lineRule="auto"/>
        <w:rPr>
          <w:noProof/>
        </w:rPr>
      </w:pPr>
      <w:hyperlink w:anchor="_RG0049" w:history="1">
        <w:r>
          <w:rPr>
            <w:noProof/>
            <w:sz w:val="17"/>
          </w:rPr>
          <w:t xml:space="preserve">13.  Exercise and review</w:t>
        </w:r>
        <w:r>
          <w:rPr>
            <w:noProof/>
            <w:sz w:val="17"/>
          </w:rPr>
          <w:tab/>
        </w:r>
        <w:r>
          <w:rPr>
            <w:noProof/>
          </w:rPr>
          <w:fldChar w:fldCharType="begin"/>
        </w:r>
        <w:r>
          <w:rPr>
            <w:noProof/>
          </w:rPr>
          <w:instrText xml:space="preserve"> PAGEREF _RG0049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50" w:history="1">
        <w:r>
          <w:rPr>
            <w:noProof/>
            <w:sz w:val="17"/>
          </w:rPr>
          <w:t xml:space="preserve">14.  Evidence of operation</w:t>
        </w:r>
        <w:r>
          <w:rPr>
            <w:noProof/>
            <w:sz w:val="17"/>
          </w:rPr>
          <w:tab/>
        </w:r>
        <w:r>
          <w:rPr>
            <w:noProof/>
          </w:rPr>
          <w:fldChar w:fldCharType="begin"/>
        </w:r>
        <w:r>
          <w:rPr>
            <w:noProof/>
          </w:rPr>
          <w:instrText xml:space="preserve"> PAGEREF _RG0050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51" w:history="1">
        <w:r>
          <w:rPr>
            <w:noProof/>
            <w:sz w:val="17"/>
          </w:rPr>
          <w:t xml:space="preserve">15.  What this document cannot do</w:t>
        </w:r>
        <w:r>
          <w:rPr>
            <w:noProof/>
            <w:sz w:val="17"/>
          </w:rPr>
          <w:tab/>
        </w:r>
        <w:r>
          <w:rPr>
            <w:noProof/>
          </w:rPr>
          <w:fldChar w:fldCharType="begin"/>
        </w:r>
        <w:r>
          <w:rPr>
            <w:noProof/>
          </w:rPr>
          <w:instrText xml:space="preserve"> PAGEREF _RG0051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52" w:history="1">
        <w:r>
          <w:rPr>
            <w:noProof/>
            <w:sz w:val="17"/>
          </w:rPr>
          <w:t xml:space="preserve">Appendix A.  Payment fraud first-hour checklist</w:t>
        </w:r>
        <w:r>
          <w:rPr>
            <w:noProof/>
            <w:sz w:val="17"/>
          </w:rPr>
          <w:tab/>
        </w:r>
        <w:r>
          <w:rPr>
            <w:noProof/>
          </w:rPr>
          <w:fldChar w:fldCharType="begin"/>
        </w:r>
        <w:r>
          <w:rPr>
            <w:noProof/>
          </w:rPr>
          <w:instrText xml:space="preserve"> PAGEREF _RG0052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53" w:history="1">
        <w:r>
          <w:rPr>
            <w:noProof/>
            <w:sz w:val="17"/>
          </w:rPr>
          <w:t xml:space="preserve">Appendix B.  Account takeover containment checklist</w:t>
        </w:r>
        <w:r>
          <w:rPr>
            <w:noProof/>
            <w:sz w:val="17"/>
          </w:rPr>
          <w:tab/>
        </w:r>
        <w:r>
          <w:rPr>
            <w:noProof/>
          </w:rPr>
          <w:fldChar w:fldCharType="begin"/>
        </w:r>
        <w:r>
          <w:rPr>
            <w:noProof/>
          </w:rPr>
          <w:instrText xml:space="preserve"> PAGEREF _RG0053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54" w:history="1">
        <w:r>
          <w:rPr>
            <w:noProof/>
            <w:sz w:val="17"/>
          </w:rPr>
          <w:t xml:space="preserve">Appendix C.  Bank recall request record</w:t>
        </w:r>
        <w:r>
          <w:rPr>
            <w:noProof/>
            <w:sz w:val="17"/>
          </w:rPr>
          <w:tab/>
        </w:r>
        <w:r>
          <w:rPr>
            <w:noProof/>
          </w:rPr>
          <w:fldChar w:fldCharType="begin"/>
        </w:r>
        <w:r>
          <w:rPr>
            <w:noProof/>
          </w:rPr>
          <w:instrText xml:space="preserve"> PAGEREF _RG0054 \h </w:instrText>
        </w:r>
        <w:r>
          <w:rPr>
            <w:noProof/>
          </w:rPr>
          <w:fldChar w:fldCharType="separate"/>
        </w:r>
        <w:r>
          <w:rPr>
            <w:noProof/>
            <w:sz w:val="17"/>
          </w:rPr>
          <w:t>23</w:t>
        </w:r>
        <w:r>
          <w:rPr>
            <w:noProof/>
          </w:rPr>
          <w:fldChar w:fldCharType="end"/>
        </w:r>
      </w:hyperlink>
    </w:p>
    <w:p>
      <w:pPr>
        <w:pStyle w:val="TOC1"/>
        <w:tabs>
          <w:tab w:val="right" w:leader="dot" w:pos="9746"/>
        </w:tabs>
        <w:spacing w:after="12" w:line="240" w:lineRule="auto"/>
        <w:rPr>
          <w:noProof/>
        </w:rPr>
      </w:pPr>
      <w:hyperlink w:anchor="_RG0055" w:history="1">
        <w:r>
          <w:rPr>
            <w:noProof/>
            <w:sz w:val="17"/>
          </w:rPr>
          <w:t xml:space="preserve">Appendix D.  Mailbox investigation worksheet</w:t>
        </w:r>
        <w:r>
          <w:rPr>
            <w:noProof/>
            <w:sz w:val="17"/>
          </w:rPr>
          <w:tab/>
        </w:r>
        <w:r>
          <w:rPr>
            <w:noProof/>
          </w:rPr>
          <w:fldChar w:fldCharType="begin"/>
        </w:r>
        <w:r>
          <w:rPr>
            <w:noProof/>
          </w:rPr>
          <w:instrText xml:space="preserve"> PAGEREF _RG0055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56" w:history="1">
        <w:r>
          <w:rPr>
            <w:noProof/>
            <w:sz w:val="17"/>
          </w:rPr>
          <w:t xml:space="preserve">Appendix E.  Third-party notification log</w:t>
        </w:r>
        <w:r>
          <w:rPr>
            <w:noProof/>
            <w:sz w:val="17"/>
          </w:rPr>
          <w:tab/>
        </w:r>
        <w:r>
          <w:rPr>
            <w:noProof/>
          </w:rPr>
          <w:fldChar w:fldCharType="begin"/>
        </w:r>
        <w:r>
          <w:rPr>
            <w:noProof/>
          </w:rPr>
          <w:instrText xml:space="preserve"> PAGEREF _RG0056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57" w:history="1">
        <w:r>
          <w:rPr>
            <w:noProof/>
            <w:sz w:val="17"/>
          </w:rPr>
          <w:t xml:space="preserve">Appendix F.  Customer warning message templates</w:t>
        </w:r>
        <w:r>
          <w:rPr>
            <w:noProof/>
            <w:sz w:val="17"/>
          </w:rPr>
          <w:tab/>
        </w:r>
        <w:r>
          <w:rPr>
            <w:noProof/>
          </w:rPr>
          <w:fldChar w:fldCharType="begin"/>
        </w:r>
        <w:r>
          <w:rPr>
            <w:noProof/>
          </w:rPr>
          <w:instrText xml:space="preserve"> PAGEREF _RG0057 \h </w:instrText>
        </w:r>
        <w:r>
          <w:rPr>
            <w:noProof/>
          </w:rPr>
          <w:fldChar w:fldCharType="separate"/>
        </w:r>
        <w:r>
          <w:rPr>
            <w:noProof/>
            <w:sz w:val="17"/>
          </w:rPr>
          <w:t>26</w:t>
        </w:r>
        <w:r>
          <w:rPr>
            <w:noProof/>
          </w:rPr>
          <w:fldChar w:fldCharType="end"/>
        </w:r>
      </w:hyperlink>
    </w:p>
    <w:p>
      <w:pPr>
        <w:pStyle w:val="TOC1"/>
        <w:tabs>
          <w:tab w:val="right" w:leader="dot" w:pos="9746"/>
        </w:tabs>
        <w:spacing w:after="12" w:line="240" w:lineRule="auto"/>
        <w:rPr>
          <w:noProof/>
        </w:rPr>
      </w:pPr>
      <w:hyperlink w:anchor="_RG0058" w:history="1">
        <w:r>
          <w:rPr>
            <w:noProof/>
            <w:sz w:val="17"/>
          </w:rPr>
          <w:t xml:space="preserve">Appendix G.  Guidance on payment change verification controls</w:t>
        </w:r>
        <w:r>
          <w:rPr>
            <w:noProof/>
            <w:sz w:val="17"/>
          </w:rPr>
          <w:tab/>
        </w:r>
        <w:r>
          <w:rPr>
            <w:noProof/>
          </w:rPr>
          <w:fldChar w:fldCharType="begin"/>
        </w:r>
        <w:r>
          <w:rPr>
            <w:noProof/>
          </w:rPr>
          <w:instrText xml:space="preserve"> PAGEREF _RG0058 \h </w:instrText>
        </w:r>
        <w:r>
          <w:rPr>
            <w:noProof/>
          </w:rPr>
          <w:fldChar w:fldCharType="separate"/>
        </w:r>
        <w:r>
          <w:rPr>
            <w:noProof/>
            <w:sz w:val="17"/>
          </w:rPr>
          <w:t>27</w:t>
        </w:r>
        <w:r>
          <w:rPr>
            <w:noProof/>
          </w:rPr>
          <w:fldChar w:fldCharType="end"/>
        </w:r>
      </w:hyperlink>
    </w:p>
    <w:p>
      <w:pPr>
        <w:pStyle w:val="TOC1"/>
        <w:tabs>
          <w:tab w:val="right" w:leader="dot" w:pos="9746"/>
        </w:tabs>
        <w:spacing w:after="12" w:line="240" w:lineRule="auto"/>
        <w:rPr>
          <w:noProof/>
        </w:rPr>
      </w:pPr>
      <w:hyperlink w:anchor="_RG0059" w:history="1">
        <w:r>
          <w:rPr>
            <w:noProof/>
            <w:sz w:val="17"/>
          </w:rPr>
          <w:t xml:space="preserve">Glossary</w:t>
        </w:r>
        <w:r>
          <w:rPr>
            <w:noProof/>
            <w:sz w:val="17"/>
          </w:rPr>
          <w:tab/>
        </w:r>
        <w:r>
          <w:rPr>
            <w:noProof/>
          </w:rPr>
          <w:fldChar w:fldCharType="begin"/>
        </w:r>
        <w:r>
          <w:rPr>
            <w:noProof/>
          </w:rPr>
          <w:instrText xml:space="preserve"> PAGEREF _RG0059 \h </w:instrText>
        </w:r>
        <w:r>
          <w:rPr>
            <w:noProof/>
          </w:rPr>
          <w:fldChar w:fldCharType="separate"/>
        </w:r>
        <w:r>
          <w:rPr>
            <w:noProof/>
            <w:sz w:val="17"/>
          </w:rPr>
          <w:t>29</w:t>
        </w:r>
        <w:r>
          <w:rPr>
            <w:noProof/>
          </w:rPr>
          <w:fldChar w:fldCharType="end"/>
        </w:r>
      </w:hyperlink>
    </w:p>
    <w:p>
      <w:pPr>
        <w:pStyle w:val="TOC1"/>
        <w:tabs>
          <w:tab w:val="right" w:leader="dot" w:pos="9746"/>
        </w:tabs>
        <w:spacing w:after="12" w:line="240" w:lineRule="auto"/>
        <w:rPr>
          <w:noProof/>
        </w:rPr>
      </w:pPr>
      <w:hyperlink w:anchor="_RG0062" w:history="1">
        <w:r>
          <w:rPr>
            <w:noProof/>
            <w:sz w:val="17"/>
          </w:rPr>
          <w:t xml:space="preserve">Record of changes</w:t>
        </w:r>
        <w:r>
          <w:rPr>
            <w:noProof/>
            <w:sz w:val="17"/>
          </w:rPr>
          <w:tab/>
        </w:r>
        <w:r>
          <w:rPr>
            <w:noProof/>
          </w:rPr>
          <w:fldChar w:fldCharType="begin"/>
        </w:r>
        <w:r>
          <w:rPr>
            <w:noProof/>
          </w:rPr>
          <w:instrText xml:space="preserve"> PAGEREF _RG0062 \h </w:instrText>
        </w:r>
        <w:r>
          <w:rPr>
            <w:noProof/>
          </w:rPr>
          <w:fldChar w:fldCharType="separate"/>
        </w:r>
        <w:r>
          <w:rPr>
            <w:noProof/>
            <w:sz w:val="17"/>
          </w:rPr>
          <w:t>30</w:t>
        </w:r>
        <w:r>
          <w:rPr>
            <w:noProof/>
          </w:rPr>
          <w:fldChar w:fldCharType="end"/>
        </w:r>
      </w:hyperlink>
      <w:r>
        <w:rPr>
          <w:noProof/>
        </w:rPr>
        <w:fldChar w:fldCharType="end"/>
      </w:r>
    </w:p>
    <w:p>
      <w:pPr>
        <w:pStyle w:val="Heading1"/>
        <w:keepNext/>
        <w:keepLines/>
        <w:pageBreakBefore/>
        <w:pBdr>
          <w:bottom w:val="single" w:color="D4DAE0" w:sz="4" w:space="4"/>
        </w:pBdr>
        <w:spacing w:after="140" w:before="300"/>
      </w:pPr>
      <w:bookmarkStart w:name="_RG0001" w:id="1"/>
      <w:r>
        <w:t xml:space="preserve">Executive summary</w:t>
      </w:r>
      <w:bookmarkEnd w:id="1"/>
    </w:p>
    <w:p>
      <w:pPr>
        <w:keepNext/>
        <w:spacing w:after="70" w:before="200"/>
      </w:pPr>
      <w:r>
        <w:rPr>
          <w:b/>
          <w:bCs/>
          <w:color w:val="2E5C7A"/>
          <w:sz w:val="17"/>
          <w:szCs w:val="17"/>
        </w:rPr>
        <w:t xml:space="preserve">WHY THIS IS WORTH A DOCUMENT OF ITS OWN</w:t>
      </w:r>
    </w:p>
    <w:p>
      <w:pPr>
        <w:spacing w:after="130" w:line="262"/>
      </w:pPr>
      <w:r>
        <w:t xml:space="preserve">Business email compromise is the incident type where the response clock is measured in hours rather than days. When a payment has gone to an account controlled by a criminal, the chance of getting it back depends on how quickly the sending bank asks the receiving bank to freeze it. FinCEN states that its Rapid Response Program has had greater success when fraudulent wire transfers are reported to law enforcement within 72 hours of the transaction, and the FBI asks victims to contact their bank and file with IC3 as soon as fraud is recognized. A general incident response plan is not written for that pace.</w:t>
      </w:r>
    </w:p>
    <w:p>
      <w:pPr>
        <w:spacing w:after="130" w:line="262"/>
      </w:pPr>
      <w:r>
        <w:t xml:space="preserve">It is also an incident that finance staff discover before IT does. The person who notices is usually an accounts payable clerk, a payroll administrator or a supplier asking why an invoice is unpaid. If the first-hour actions live only in a security team's runbook, the hours that matter are spent finding out who to tell.</w:t>
      </w:r>
    </w:p>
    <w:p>
      <w:pPr>
        <w:keepNext/>
        <w:spacing w:after="70" w:before="200"/>
      </w:pPr>
      <w:r>
        <w:rPr>
          <w:b/>
          <w:bCs/>
          <w:color w:val="2E5C7A"/>
          <w:sz w:val="17"/>
          <w:szCs w:val="17"/>
        </w:rPr>
        <w:t xml:space="preserve">WHAT THIS DOCUMENT CONTAINS</w:t>
      </w:r>
    </w:p>
    <w:p>
      <w:pPr>
        <w:spacing w:after="130" w:line="262"/>
      </w:pPr>
      <w:r>
        <w:t xml:space="preserve">Two response tracks. The payment fraud track covers invoice redirection, executive impersonation and payroll diversion, where the priority is the money. The account takeover track covers a mailbox under an attacker's control, including the case where the organization's own domain was used to send fraudulent instructions to its customers. The two tracks usually run together, because most redirected payments start with a compromised mailbox on one side of the conversation or the other.</w:t>
      </w:r>
    </w:p>
    <w:p>
      <w:pPr>
        <w:spacing w:after="130" w:line="262"/>
      </w:pPr>
      <w:r>
        <w:t xml:space="preserve">Each track has a first-hour table with owners and the record each step produces, followed by the scoping, notification, breach assessment and recovery work that follows. The second half sets out the payment and email controls that prevent recurrence, the evidence that shows those controls operate, and the working forms in the appendices.</w:t>
      </w:r>
    </w:p>
    <w:p>
      <w:pPr>
        <w:keepNext/>
        <w:spacing w:after="70" w:before="200"/>
      </w:pPr>
      <w:r>
        <w:rPr>
          <w:b/>
          <w:bCs/>
          <w:color w:val="2E5C7A"/>
          <w:sz w:val="17"/>
          <w:szCs w:val="17"/>
        </w:rPr>
        <w:t xml:space="preserve">WHO THIS DOCUMENT IS FOR</w:t>
      </w:r>
    </w:p>
    <w:p>
      <w:pPr>
        <w:spacing w:after="130" w:line="262"/>
      </w:pPr>
      <w:r>
        <w:t xml:space="preserve">Organizations of roughly 20 to 2,000 staff, without a dedicated security operations team, that already have an incident response plan and need a specific playbook for this incident type. The people who will use it are the finance lead, the IT or email administrator, and whoever leads incidents under the parent plan. Read the first-hour tables in sections 4 and 5 before anything else, and give a printed copy of Appendix A to everyone who can release a payment.</w:t>
      </w:r>
    </w:p>
    <w:p>
      <w:pPr>
        <w:keepNext/>
        <w:spacing w:after="70" w:before="200"/>
      </w:pPr>
      <w:r>
        <w:rPr>
          <w:b/>
          <w:bCs/>
          <w:color w:val="2E5C7A"/>
          <w:sz w:val="17"/>
          <w:szCs w:val="17"/>
        </w:rPr>
        <w:t xml:space="preserve">WHAT IT IS NOT</w:t>
      </w:r>
    </w:p>
    <w:p>
      <w:pPr>
        <w:spacing w:after="130" w:line="262"/>
      </w:pPr>
      <w:r>
        <w:t xml:space="preserve">It is not a replacement for the incident response plan. Severity definitions, the incident team, the contact list, the incident log and the after-action record are in PLN-IR-001 and are referenced here rather than repeated. It is not legal advice: whether a compromised mailbox triggers a breach notification duty is a question for counsel, and this document routes it there. It does not promise recovery of funds; no bank, regulator or law enforcement agency does either.</w:t>
      </w:r>
    </w:p>
    <w:p>
      <w:pPr>
        <w:pStyle w:val="Heading1"/>
        <w:keepNext/>
        <w:keepLines/>
        <w:pageBreakBefore/>
        <w:pBdr>
          <w:bottom w:val="single" w:color="D4DAE0" w:sz="4" w:space="4"/>
        </w:pBdr>
        <w:spacing w:after="140" w:before="300"/>
      </w:pPr>
      <w:bookmarkStart w:name="_RG0002" w:id="1"/>
      <w:r>
        <w:t xml:space="preserve">1.  Purpose, scope and relationship to the incident response plan</w:t>
      </w:r>
      <w:bookmarkEnd w:id="1"/>
    </w:p>
    <w:p>
      <w:pPr>
        <w:spacing w:after="130" w:line="262"/>
      </w:pPr>
      <w:r>
        <w:t xml:space="preserve">This playbook sets out how the organization responds when a payment has been made or requested on fraudulent instructions received by email, and when an email account has been accessed or controlled by someone other than its owner. It defines who acts, in what order, within what time, and what record each action leaves.</w:t>
      </w:r>
    </w:p>
    <w:p>
      <w:pPr>
        <w:spacing w:after="60" w:line="120"/>
      </w:pPr>
      <w:r>
        <w:rPr>
          <w:sz w:val="4"/>
          <w:szCs w:val="4"/>
        </w:rPr>
        <w:t xml:space="preserve"/>
      </w:r>
    </w:p>
    <w:p>
      <w:pPr>
        <w:pStyle w:val="Heading2"/>
        <w:keepNext/>
        <w:keepLines/>
        <w:spacing w:after="90" w:before="220"/>
      </w:pPr>
      <w:bookmarkStart w:name="_RG0003" w:id="1"/>
      <w:r>
        <w:t xml:space="preserve">1.1  Scope</w:t>
      </w:r>
      <w:bookmarkEnd w:id="1"/>
    </w:p>
    <w:p>
      <w:pPr>
        <w:spacing w:after="130" w:line="262"/>
      </w:pPr>
      <w:r>
        <w:t xml:space="preserve">The playbook applies to every incident in which one or more of the following has occurred or is suspected:</w:t>
      </w:r>
    </w:p>
    <w:p>
      <w:pPr>
        <w:pStyle w:val="ListParagraph"/>
        <w:numPr>
          <w:ilvl w:val="0"/>
          <w:numId w:val="2"/>
        </w:numPr>
        <w:spacing w:after="60" w:line="262"/>
      </w:pPr>
      <w:r>
        <w:t xml:space="preserve">A payment was sent, or was about to be sent, to bank details supplied or changed by email, text or phone call that the organization did not verify through a separate channel.</w:t>
      </w:r>
    </w:p>
    <w:p>
      <w:pPr>
        <w:pStyle w:val="ListParagraph"/>
        <w:numPr>
          <w:ilvl w:val="0"/>
          <w:numId w:val="2"/>
        </w:numPr>
        <w:spacing w:after="60" w:line="262"/>
      </w:pPr>
      <w:r>
        <w:t xml:space="preserve">A payment or gift card purchase was requested in the name of an executive, a supplier, an attorney or another trusted party, and the request did not come from that party.</w:t>
      </w:r>
    </w:p>
    <w:p>
      <w:pPr>
        <w:pStyle w:val="ListParagraph"/>
        <w:numPr>
          <w:ilvl w:val="0"/>
          <w:numId w:val="2"/>
        </w:numPr>
        <w:spacing w:after="60" w:line="262"/>
      </w:pPr>
      <w:r>
        <w:t xml:space="preserve">An employee's direct deposit details were changed on the strength of an email or a self-service portal change the employee did not make.</w:t>
      </w:r>
    </w:p>
    <w:p>
      <w:pPr>
        <w:pStyle w:val="ListParagraph"/>
        <w:numPr>
          <w:ilvl w:val="0"/>
          <w:numId w:val="2"/>
        </w:numPr>
        <w:spacing w:after="60" w:line="262"/>
      </w:pPr>
      <w:r>
        <w:t xml:space="preserve">An email account belonging to the organization was signed into, read, or used to send mail by someone other than the account holder.</w:t>
      </w:r>
    </w:p>
    <w:p>
      <w:pPr>
        <w:pStyle w:val="ListParagraph"/>
        <w:numPr>
          <w:ilvl w:val="0"/>
          <w:numId w:val="2"/>
        </w:numPr>
        <w:spacing w:after="60" w:line="262"/>
      </w:pPr>
      <w:r>
        <w:t xml:space="preserve">A customer, supplier or other third party received fraudulent payment instructions that appeared to come from the organization, whether from its real domain or from a lookalike.</w:t>
      </w:r>
    </w:p>
    <w:p>
      <w:pPr>
        <w:spacing w:after="130" w:line="262"/>
      </w:pPr>
      <w:r>
        <w:t xml:space="preserve">It applies to all email accounts on the organization's domains, including shared mailboxes, service accounts that send mail, and the accounts of contractors issued an organizational address. It applies to all payment types the organization can initiate: wire transfers, ACH and other automated clearing house credits, real-time payments, checks, card payments and gift card purchases.</w:t>
      </w:r>
    </w:p>
    <w:p>
      <w:pPr>
        <w:spacing w:after="60" w:line="120"/>
      </w:pPr>
      <w:r>
        <w:rPr>
          <w:sz w:val="4"/>
          <w:szCs w:val="4"/>
        </w:rPr>
        <w:t xml:space="preserve"/>
      </w:r>
    </w:p>
    <w:p>
      <w:pPr>
        <w:pStyle w:val="Heading2"/>
        <w:keepNext/>
        <w:keepLines/>
        <w:spacing w:after="90" w:before="220"/>
      </w:pPr>
      <w:bookmarkStart w:name="_RG0004" w:id="1"/>
      <w:r>
        <w:t xml:space="preserve">1.2  Relationship to PLN-IR-001</w:t>
      </w:r>
      <w:bookmarkEnd w:id="1"/>
    </w:p>
    <w:p>
      <w:pPr>
        <w:spacing w:after="130" w:line="262"/>
      </w:pPr>
      <w:r>
        <w:t xml:space="preserve">This playbook operates under the Incident Response Plan, PLN-IR-001. The following are taken from that plan and are not restated here: the severity scale and its criteria, the composition of the incident team and the authority of the incident lead, the internal and external contact list, the incident log, the communications approval route and the after-action record. Where this playbook says the incident lead declares, logs or escalates, it means doing so as PLN-IR-001 describes.</w:t>
      </w:r>
    </w:p>
    <w:p>
      <w:pPr>
        <w:spacing w:after="130" w:line="262"/>
      </w:pPr>
      <w:r>
        <w:t xml:space="preserve">This playbook adds what PLN-IR-001 does not contain: the time-critical payment recovery steps, the mailbox containment and investigation steps specific to email platforms, third-party warning procedure, and the payment and email controls that address this incident type.</w:t>
      </w:r>
    </w:p>
    <w:p>
      <w:pPr>
        <w:spacing w:after="60" w:line="120"/>
      </w:pPr>
      <w:r>
        <w:rPr>
          <w:sz w:val="4"/>
          <w:szCs w:val="4"/>
        </w:rPr>
        <w:t xml:space="preserve"/>
      </w:r>
    </w:p>
    <w:p>
      <w:pPr>
        <w:pStyle w:val="Heading2"/>
        <w:keepNext/>
        <w:keepLines/>
        <w:spacing w:after="90" w:before="220"/>
      </w:pPr>
      <w:bookmarkStart w:name="_RG0005" w:id="1"/>
      <w:r>
        <w:t xml:space="preserve">1.3  Incident response model</w:t>
      </w:r>
      <w:bookmarkEnd w:id="1"/>
    </w:p>
    <w:p>
      <w:pPr>
        <w:spacing w:after="130" w:line="262"/>
      </w:pPr>
      <w:r>
        <w:t xml:space="preserve">NIST SP 800-61 Revision 3, Incident Response Recommendations and Considerations for Cybersecurity Risk Management: A CSF 2.0 Community Profile, was published in April 2025 and supersedes Revision 2 of 2012. Revision 3 organizes incident response around the six NIST Cybersecurity Framework 2.0 Functions: Govern, Identify, Protect, Detect, Respond and Recover. The four-phase life cycle from Revision 2 appears in Revision 3 only as the model used in the previous version, mapped onto those Functions, and Revision 3 states that organizations should use the life cycle model that suits them best.</w:t>
      </w:r>
    </w:p>
    <w:p>
      <w:pPr>
        <w:spacing w:after="130" w:line="262"/>
      </w:pPr>
      <w:r>
        <w:t xml:space="preserve">This playbook follows that structure. Sections 3 to 9 are Detect, Respond and Recover activities for this incident type. Sections 10 and 11 are Protect activities. Section 13 and the after-action record in PLN-IR-001 are the improvement activities that Revision 3 places under Identify.</w:t>
      </w:r>
    </w:p>
    <w:p>
      <w:pPr>
        <w:spacing w:after="60" w:line="120"/>
      </w:pPr>
      <w:r>
        <w:rPr>
          <w:sz w:val="4"/>
          <w:szCs w:val="4"/>
        </w:rPr>
        <w:t xml:space="preserve"/>
      </w:r>
    </w:p>
    <w:p>
      <w:pPr>
        <w:pStyle w:val="Heading1"/>
        <w:keepNext/>
        <w:keepLines/>
        <w:pBdr>
          <w:bottom w:val="single" w:color="D4DAE0" w:sz="4" w:space="4"/>
        </w:pBdr>
        <w:spacing w:after="140" w:before="300"/>
      </w:pPr>
      <w:bookmarkStart w:name="_RG0006" w:id="1"/>
      <w:r>
        <w:t xml:space="preserve">2.  Principles</w:t>
      </w:r>
      <w:bookmarkEnd w:id="1"/>
    </w:p>
    <w:p>
      <w:pPr>
        <w:keepNext/>
        <w:keepLines/>
        <w:pBdr>
          <w:top w:val="single" w:color="D4DAE0" w:sz="4" w:space="9"/>
        </w:pBdr>
        <w:spacing w:after="46" w:before="110"/>
      </w:pPr>
      <w:r>
        <w:rPr>
          <w:b/>
          <w:bCs/>
          <w:color w:val="2E5C7A"/>
          <w:sz w:val="21"/>
          <w:szCs w:val="21"/>
        </w:rPr>
        <w:t xml:space="preserve">Money first, then the mailbox</w:t>
      </w:r>
    </w:p>
    <w:p>
      <w:pPr>
        <w:spacing w:after="62" w:line="262"/>
        <w:ind w:left="172"/>
      </w:pPr>
      <w:r>
        <w:t xml:space="preserve">When funds have left the organization, the call to the sending bank's fraud line comes before any technical investigation. A mailbox can be investigated next week; a wire transfer that has been moved onward from the receiving account usually cannot be recovered.</w:t>
      </w:r>
    </w:p>
    <w:p>
      <w:pPr>
        <w:keepNext/>
        <w:keepLines/>
        <w:pBdr>
          <w:top w:val="single" w:color="D4DAE0" w:sz="4" w:space="9"/>
        </w:pBdr>
        <w:spacing w:after="46" w:before="170"/>
      </w:pPr>
      <w:r>
        <w:rPr>
          <w:b/>
          <w:bCs/>
          <w:color w:val="2E5C7A"/>
          <w:sz w:val="21"/>
          <w:szCs w:val="21"/>
        </w:rPr>
        <w:t xml:space="preserve">Verify by a channel the attacker does not control</w:t>
      </w:r>
    </w:p>
    <w:p>
      <w:pPr>
        <w:spacing w:after="62" w:line="262"/>
        <w:ind w:left="172"/>
      </w:pPr>
      <w:r>
        <w:t xml:space="preserve">Every confirmation in this playbook, whether of a bank detail change, of a supplier's identity or of a warning to a customer, uses a phone number already held on file before the request arrived. A number in the email, in the email signature, or given by the caller is the attacker's number until proven otherwise.</w:t>
      </w:r>
    </w:p>
    <w:p>
      <w:pPr>
        <w:keepNext/>
        <w:keepLines/>
        <w:pBdr>
          <w:top w:val="single" w:color="D4DAE0" w:sz="4" w:space="9"/>
        </w:pBdr>
        <w:spacing w:after="46" w:before="170"/>
      </w:pPr>
      <w:r>
        <w:rPr>
          <w:b/>
          <w:bCs/>
          <w:color w:val="2E5C7A"/>
          <w:sz w:val="21"/>
          <w:szCs w:val="21"/>
        </w:rPr>
        <w:t xml:space="preserve">Preserve before cleaning</w:t>
      </w:r>
    </w:p>
    <w:p>
      <w:pPr>
        <w:spacing w:after="62" w:line="262"/>
        <w:ind w:left="172"/>
      </w:pPr>
      <w:r>
        <w:t xml:space="preserve">The attacker's messages, rules and sign-in records are the evidence that scopes the incident and supports the bank, law enforcement and insurer. Nothing is deleted until it has been exported or recorded. Containment changes configuration; it does not destroy records.</w:t>
      </w:r>
    </w:p>
    <w:p>
      <w:pPr>
        <w:keepNext/>
        <w:keepLines/>
        <w:pBdr>
          <w:top w:val="single" w:color="D4DAE0" w:sz="4" w:space="9"/>
        </w:pBdr>
        <w:spacing w:after="46" w:before="170"/>
      </w:pPr>
      <w:r>
        <w:rPr>
          <w:b/>
          <w:bCs/>
          <w:color w:val="2E5C7A"/>
          <w:sz w:val="21"/>
          <w:szCs w:val="21"/>
        </w:rPr>
        <w:t xml:space="preserve">Assume both sides of the conversation</w:t>
      </w:r>
    </w:p>
    <w:p>
      <w:pPr>
        <w:spacing w:after="62" w:line="262"/>
        <w:ind w:left="172"/>
      </w:pPr>
      <w:r>
        <w:t xml:space="preserve">A redirected payment means either the organization's mailbox or the counterparty's mailbox was compromised, or a lookalike domain was used. Until the scoping in section 6 shows which, all three are treated as possible.</w:t>
      </w:r>
    </w:p>
    <w:p>
      <w:pPr>
        <w:keepNext/>
        <w:keepLines/>
        <w:pBdr>
          <w:top w:val="single" w:color="D4DAE0" w:sz="4" w:space="9"/>
        </w:pBdr>
        <w:spacing w:after="46" w:before="170"/>
      </w:pPr>
      <w:r>
        <w:rPr>
          <w:b/>
          <w:bCs/>
          <w:color w:val="2E5C7A"/>
          <w:sz w:val="21"/>
          <w:szCs w:val="21"/>
        </w:rPr>
        <w:t xml:space="preserve">Contain the account, not the symptom</w:t>
      </w:r>
    </w:p>
    <w:p>
      <w:pPr>
        <w:spacing w:after="62" w:line="262"/>
        <w:ind w:left="172"/>
      </w:pPr>
      <w:r>
        <w:t xml:space="preserve">Resetting a password alone does not end an account takeover. Sessions, refresh tokens, registered sign-in methods, app passwords, inbox rules, forwarding, delegates and application consents are each a separate way back in, and each is checked.</w:t>
      </w:r>
    </w:p>
    <w:p>
      <w:pPr>
        <w:keepNext/>
        <w:keepLines/>
        <w:pBdr>
          <w:top w:val="single" w:color="D4DAE0" w:sz="4" w:space="9"/>
        </w:pBdr>
        <w:spacing w:after="46" w:before="170"/>
      </w:pPr>
      <w:r>
        <w:rPr>
          <w:b/>
          <w:bCs/>
          <w:color w:val="2E5C7A"/>
          <w:sz w:val="21"/>
          <w:szCs w:val="21"/>
        </w:rPr>
        <w:t xml:space="preserve">No blame in the first hour</w:t>
      </w:r>
    </w:p>
    <w:p>
      <w:pPr>
        <w:spacing w:after="62" w:line="262"/>
        <w:ind w:left="172"/>
      </w:pPr>
      <w:r>
        <w:t xml:space="preserve">The employee who released the payment or entered their password is the best source of information about what happened. They are told explicitly that reporting quickly is what the organization needs, and that the review of how it happened comes later through the after-action record.</w:t>
      </w:r>
    </w:p>
    <w:p>
      <w:pPr>
        <w:spacing w:after="60" w:line="120"/>
      </w:pPr>
      <w:r>
        <w:rPr>
          <w:sz w:val="4"/>
          <w:szCs w:val="4"/>
        </w:rPr>
        <w:t xml:space="preserve"/>
      </w:r>
    </w:p>
    <w:p>
      <w:pPr>
        <w:pStyle w:val="Heading1"/>
        <w:keepNext/>
        <w:keepLines/>
        <w:pBdr>
          <w:bottom w:val="single" w:color="D4DAE0" w:sz="4" w:space="4"/>
        </w:pBdr>
        <w:spacing w:after="140" w:before="300"/>
      </w:pPr>
      <w:bookmarkStart w:name="_RG0007" w:id="1"/>
      <w:r>
        <w:t xml:space="preserve">3.  Recognition and declaration</w:t>
      </w:r>
      <w:bookmarkEnd w:id="1"/>
    </w:p>
    <w:p>
      <w:pPr>
        <w:spacing w:after="130" w:line="262"/>
      </w:pPr>
      <w:r>
        <w:t xml:space="preserve">Business email compromise rarely announces itself. It is recognized from a combination of payment anomalies, mailbox anomalies and reports from outside. Any employee who sees one of the signals below reports it immediately to the incident reporting contact in PLN-IR-001 and, where money is involved, to the finance lead at the same time by phone.</w:t>
      </w:r>
    </w:p>
    <w:p>
      <w:pPr>
        <w:spacing w:after="60" w:line="120"/>
      </w:pPr>
      <w:r>
        <w:rPr>
          <w:sz w:val="4"/>
          <w:szCs w:val="4"/>
        </w:rPr>
        <w:t xml:space="preserve"/>
      </w:r>
    </w:p>
    <w:p>
      <w:pPr>
        <w:pStyle w:val="Heading2"/>
        <w:keepNext/>
        <w:keepLines/>
        <w:spacing w:after="90" w:before="220"/>
      </w:pPr>
      <w:bookmarkStart w:name="_RG0008" w:id="1"/>
      <w:r>
        <w:t xml:space="preserve">3.1  Signals of a fraudulent payment request</w:t>
      </w:r>
      <w:bookmarkEnd w:id="1"/>
    </w:p>
    <w:p>
      <w:pPr>
        <w:pStyle w:val="ListParagraph"/>
        <w:numPr>
          <w:ilvl w:val="0"/>
          <w:numId w:val="2"/>
        </w:numPr>
        <w:spacing w:after="60" w:line="262"/>
      </w:pPr>
      <w:r>
        <w:t xml:space="preserve">A request to change the bank account, routing number or payment method for an existing supplier, customer refund, employee or landlord, particularly one that arrives with a new invoice.</w:t>
      </w:r>
    </w:p>
    <w:p>
      <w:pPr>
        <w:pStyle w:val="ListParagraph"/>
        <w:numPr>
          <w:ilvl w:val="0"/>
          <w:numId w:val="2"/>
        </w:numPr>
        <w:spacing w:after="60" w:line="262"/>
      </w:pPr>
      <w:r>
        <w:t xml:space="preserve">Payment requested to an account in a different name from the supplier, in a different country from previous payments, or at a different bank.</w:t>
      </w:r>
    </w:p>
    <w:p>
      <w:pPr>
        <w:pStyle w:val="ListParagraph"/>
        <w:numPr>
          <w:ilvl w:val="0"/>
          <w:numId w:val="2"/>
        </w:numPr>
        <w:spacing w:after="60" w:line="262"/>
      </w:pPr>
      <w:r>
        <w:t xml:space="preserve">Urgency or secrecy: the payment must go today, the request must not be discussed, the sender is in a meeting, traveling or cannot take calls.</w:t>
      </w:r>
    </w:p>
    <w:p>
      <w:pPr>
        <w:pStyle w:val="ListParagraph"/>
        <w:numPr>
          <w:ilvl w:val="0"/>
          <w:numId w:val="2"/>
        </w:numPr>
        <w:spacing w:after="60" w:line="262"/>
      </w:pPr>
      <w:r>
        <w:t xml:space="preserve">A request from an executive, attorney or adviser that bypasses the normal approval route, including requests for gift cards.</w:t>
      </w:r>
    </w:p>
    <w:p>
      <w:pPr>
        <w:pStyle w:val="ListParagraph"/>
        <w:numPr>
          <w:ilvl w:val="0"/>
          <w:numId w:val="2"/>
        </w:numPr>
        <w:spacing w:after="60" w:line="262"/>
      </w:pPr>
      <w:r>
        <w:t xml:space="preserve">An email thread that is genuine up to a point and then continues from an address that differs by a character, a swapped domain ending, or a display name that matches but an underlying address that does not.</w:t>
      </w:r>
    </w:p>
    <w:p>
      <w:pPr>
        <w:pStyle w:val="ListParagraph"/>
        <w:numPr>
          <w:ilvl w:val="0"/>
          <w:numId w:val="2"/>
        </w:numPr>
        <w:spacing w:after="60" w:line="262"/>
      </w:pPr>
      <w:r>
        <w:t xml:space="preserve">A supplier or customer asking why a payment the organization recorded as sent has not arrived.</w:t>
      </w:r>
    </w:p>
    <w:p>
      <w:pPr>
        <w:pStyle w:val="ListParagraph"/>
        <w:numPr>
          <w:ilvl w:val="0"/>
          <w:numId w:val="2"/>
        </w:numPr>
        <w:spacing w:after="60" w:line="262"/>
      </w:pPr>
      <w:r>
        <w:t xml:space="preserve">An employee reporting that their pay did not arrive, or a payroll confirmation for a change the employee did not make.</w:t>
      </w:r>
    </w:p>
    <w:p>
      <w:pPr>
        <w:spacing w:after="60" w:line="120"/>
      </w:pPr>
      <w:r>
        <w:rPr>
          <w:sz w:val="4"/>
          <w:szCs w:val="4"/>
        </w:rPr>
        <w:t xml:space="preserve"/>
      </w:r>
    </w:p>
    <w:p>
      <w:pPr>
        <w:pStyle w:val="Heading2"/>
        <w:keepNext/>
        <w:keepLines/>
        <w:spacing w:after="90" w:before="220"/>
      </w:pPr>
      <w:bookmarkStart w:name="_RG0009" w:id="1"/>
      <w:r>
        <w:t xml:space="preserve">3.2  Signals of a compromised mailbox</w:t>
      </w:r>
      <w:bookmarkEnd w:id="1"/>
    </w:p>
    <w:p>
      <w:pPr>
        <w:spacing w:after="130" w:line="262"/>
      </w:pPr>
      <w:r>
        <w:t xml:space="preserve">Microsoft's guidance for responding to a compromised email account lists symptoms that apply to any platform. The organization treats the following as signals:</w:t>
      </w:r>
    </w:p>
    <w:p>
      <w:pPr>
        <w:pStyle w:val="ListParagraph"/>
        <w:numPr>
          <w:ilvl w:val="0"/>
          <w:numId w:val="2"/>
        </w:numPr>
        <w:spacing w:after="60" w:line="262"/>
      </w:pPr>
      <w:r>
        <w:t xml:space="preserve">Inbox rules the account holder did not create, especially rules that forward mail to an external address or move messages to rarely used folders such as Notes, RSS Subscriptions, Junk, Archive or Deleted Items.</w:t>
      </w:r>
    </w:p>
    <w:p>
      <w:pPr>
        <w:pStyle w:val="ListParagraph"/>
        <w:numPr>
          <w:ilvl w:val="0"/>
          <w:numId w:val="2"/>
        </w:numPr>
        <w:spacing w:after="60" w:line="262"/>
      </w:pPr>
      <w:r>
        <w:t xml:space="preserve">Forwarding to an external address configured on the mailbox.</w:t>
      </w:r>
    </w:p>
    <w:p>
      <w:pPr>
        <w:pStyle w:val="ListParagraph"/>
        <w:numPr>
          <w:ilvl w:val="0"/>
          <w:numId w:val="2"/>
        </w:numPr>
        <w:spacing w:after="60" w:line="262"/>
      </w:pPr>
      <w:r>
        <w:t xml:space="preserve">Messages in Sent Items or Deleted Items that the account holder did not send or delete, or replies from customers to messages the account holder did not write.</w:t>
      </w:r>
    </w:p>
    <w:p>
      <w:pPr>
        <w:pStyle w:val="ListParagraph"/>
        <w:numPr>
          <w:ilvl w:val="0"/>
          <w:numId w:val="2"/>
        </w:numPr>
        <w:spacing w:after="60" w:line="262"/>
      </w:pPr>
      <w:r>
        <w:t xml:space="preserve">The mailbox being blocked from sending because of outbound spam volume.</w:t>
      </w:r>
    </w:p>
    <w:p>
      <w:pPr>
        <w:pStyle w:val="ListParagraph"/>
        <w:numPr>
          <w:ilvl w:val="0"/>
          <w:numId w:val="2"/>
        </w:numPr>
        <w:spacing w:after="60" w:line="262"/>
      </w:pPr>
      <w:r>
        <w:t xml:space="preserve">Sign-ins from countries, networks or devices the account holder does not use, or multi-factor prompts the account holder did not initiate.</w:t>
      </w:r>
    </w:p>
    <w:p>
      <w:pPr>
        <w:pStyle w:val="ListParagraph"/>
        <w:numPr>
          <w:ilvl w:val="0"/>
          <w:numId w:val="2"/>
        </w:numPr>
        <w:spacing w:after="60" w:line="262"/>
      </w:pPr>
      <w:r>
        <w:t xml:space="preserve">A new sign-in method registered to the account, or a phone number or recovery address changed.</w:t>
      </w:r>
    </w:p>
    <w:p>
      <w:pPr>
        <w:pStyle w:val="ListParagraph"/>
        <w:numPr>
          <w:ilvl w:val="0"/>
          <w:numId w:val="2"/>
        </w:numPr>
        <w:spacing w:after="60" w:line="262"/>
      </w:pPr>
      <w:r>
        <w:t xml:space="preserve">Changes to the user's directory entry, such as name, phone number or signature.</w:t>
      </w:r>
    </w:p>
    <w:p>
      <w:pPr>
        <w:pStyle w:val="ListParagraph"/>
        <w:numPr>
          <w:ilvl w:val="0"/>
          <w:numId w:val="2"/>
        </w:numPr>
        <w:spacing w:after="60" w:line="262"/>
      </w:pPr>
      <w:r>
        <w:t xml:space="preserve">A third-party application granted access to the mailbox that the account holder does not recognize.</w:t>
      </w:r>
    </w:p>
    <w:p>
      <w:pPr>
        <w:pStyle w:val="ListParagraph"/>
        <w:numPr>
          <w:ilvl w:val="0"/>
          <w:numId w:val="2"/>
        </w:numPr>
        <w:spacing w:after="60" w:line="262"/>
      </w:pPr>
      <w:r>
        <w:t xml:space="preserve">Unexplained password changes or lockouts.</w:t>
      </w:r>
    </w:p>
    <w:p>
      <w:pPr>
        <w:spacing w:after="60" w:line="120"/>
      </w:pPr>
      <w:r>
        <w:rPr>
          <w:sz w:val="4"/>
          <w:szCs w:val="4"/>
        </w:rPr>
        <w:t xml:space="preserve"/>
      </w:r>
    </w:p>
    <w:p>
      <w:pPr>
        <w:pStyle w:val="Heading2"/>
        <w:keepNext/>
        <w:keepLines/>
        <w:spacing w:after="90" w:before="220"/>
      </w:pPr>
      <w:bookmarkStart w:name="_RG0010" w:id="1"/>
      <w:r>
        <w:t xml:space="preserve">3.3  Declaration and classification</w:t>
      </w:r>
      <w:bookmarkEnd w:id="1"/>
    </w:p>
    <w:p>
      <w:pPr>
        <w:spacing w:after="130" w:line="262"/>
      </w:pPr>
      <w:r>
        <w:t xml:space="preserve">The incident lead declares a business email compromise incident under PLN-IR-001 as soon as one signal is confirmed by a second person, or immediately where money has left the organization. Declaration does not wait for proof that an account was compromised. The incident is classified into one or both of the tracks below and assigned a severity using the PLN-IR-001 criteria.</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313"/>
        <w:gridCol w:w="2923"/>
        <w:gridCol w:w="3510"/>
      </w:tblGrid>
      <w:tr>
        <w:trPr>
          <w:cantSplit/>
          <w:tblHeader/>
        </w:trPr>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Situation</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Track</w:t>
            </w:r>
          </w:p>
        </w:tc>
        <w:tc>
          <w:tcPr>
            <w:tcW w:type="dxa" w:w="351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Starts with</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Payment sent on unverified instructions</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Payment fraud, then account takeover scoping</w:t>
            </w:r>
          </w:p>
        </w:tc>
        <w:tc>
          <w:tcPr>
            <w:tcW w:type="dxa" w:w="3510"/>
            <w:shd w:fill="FFFFFF" w:color="auto" w:val="clear"/>
            <w:tcMar>
              <w:top w:type="dxa" w:w="70"/>
              <w:left w:type="dxa" w:w="100"/>
              <w:bottom w:type="dxa" w:w="70"/>
              <w:right w:type="dxa" w:w="100"/>
            </w:tcMar>
            <w:vAlign w:val="top"/>
          </w:tcPr>
          <w:p>
            <w:pPr>
              <w:spacing w:after="0" w:before="0" w:line="252"/>
            </w:pPr>
            <w:r>
              <w:rPr>
                <w:sz w:val="17"/>
                <w:szCs w:val="17"/>
              </w:rPr>
              <w:t xml:space="preserve">Section 4 first-hour table, bank call within 30 minutes</w:t>
            </w: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Payment requested but not yet sent</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Payment fraud (stop), then account takeover scoping</w:t>
            </w:r>
          </w:p>
        </w:tc>
        <w:tc>
          <w:tcPr>
            <w:tcW w:type="dxa" w:w="3510"/>
            <w:shd w:fill="F2F4F6" w:color="auto" w:val="clear"/>
            <w:tcMar>
              <w:top w:type="dxa" w:w="70"/>
              <w:left w:type="dxa" w:w="100"/>
              <w:bottom w:type="dxa" w:w="70"/>
              <w:right w:type="dxa" w:w="100"/>
            </w:tcMar>
            <w:vAlign w:val="top"/>
          </w:tcPr>
          <w:p>
            <w:pPr>
              <w:spacing w:after="0" w:before="0" w:line="252"/>
            </w:pPr>
            <w:r>
              <w:rPr>
                <w:sz w:val="17"/>
                <w:szCs w:val="17"/>
              </w:rPr>
              <w:t xml:space="preserve">Hold the payment, verify by phone on file, then section 5 if the request came from an internal or known counterparty mailbox</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Mailbox shows attacker activity, no payment involved</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Account takeover</w:t>
            </w:r>
          </w:p>
        </w:tc>
        <w:tc>
          <w:tcPr>
            <w:tcW w:type="dxa" w:w="3510"/>
            <w:shd w:fill="FFFFFF" w:color="auto" w:val="clear"/>
            <w:tcMar>
              <w:top w:type="dxa" w:w="70"/>
              <w:left w:type="dxa" w:w="100"/>
              <w:bottom w:type="dxa" w:w="70"/>
              <w:right w:type="dxa" w:w="100"/>
            </w:tcMar>
            <w:vAlign w:val="top"/>
          </w:tcPr>
          <w:p>
            <w:pPr>
              <w:spacing w:after="0" w:before="0" w:line="252"/>
            </w:pPr>
            <w:r>
              <w:rPr>
                <w:sz w:val="17"/>
                <w:szCs w:val="17"/>
              </w:rPr>
              <w:t xml:space="preserve">Section 5 first-hour table</w:t>
            </w:r>
          </w:p>
        </w:tc>
      </w:tr>
      <w:tr>
        <w:trPr>
          <w:cantSplit/>
        </w:trPr>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Customer or supplier reports fraudulent instructions from the organization</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Account takeover and third-party notification</w:t>
            </w:r>
          </w:p>
        </w:tc>
        <w:tc>
          <w:tcPr>
            <w:tcW w:type="dxa" w:w="3510"/>
            <w:shd w:fill="F2F4F6" w:color="auto" w:val="clear"/>
            <w:tcMar>
              <w:top w:type="dxa" w:w="70"/>
              <w:left w:type="dxa" w:w="100"/>
              <w:bottom w:type="dxa" w:w="70"/>
              <w:right w:type="dxa" w:w="100"/>
            </w:tcMar>
            <w:vAlign w:val="top"/>
          </w:tcPr>
          <w:p>
            <w:pPr>
              <w:spacing w:after="0" w:before="0" w:line="252"/>
            </w:pPr>
            <w:r>
              <w:rPr>
                <w:sz w:val="17"/>
                <w:szCs w:val="17"/>
              </w:rPr>
              <w:t xml:space="preserve">Section 5 and section 7 together; determine whether the real domain or a lookalike was used</w:t>
            </w:r>
          </w:p>
        </w:tc>
      </w:tr>
      <w:tr>
        <w:trPr>
          <w:cantSplit/>
        </w:trPr>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Payroll deposit redirected</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Payment fraud and account takeover</w:t>
            </w:r>
          </w:p>
        </w:tc>
        <w:tc>
          <w:tcPr>
            <w:tcW w:type="dxa" w:w="3510"/>
            <w:shd w:fill="FFFFFF" w:color="auto" w:val="clear"/>
            <w:tcMar>
              <w:top w:type="dxa" w:w="70"/>
              <w:left w:type="dxa" w:w="100"/>
              <w:bottom w:type="dxa" w:w="70"/>
              <w:right w:type="dxa" w:w="100"/>
            </w:tcMar>
            <w:vAlign w:val="top"/>
          </w:tcPr>
          <w:p>
            <w:pPr>
              <w:spacing w:after="0" w:before="0" w:line="252"/>
            </w:pPr>
            <w:r>
              <w:rPr>
                <w:sz w:val="17"/>
                <w:szCs w:val="17"/>
              </w:rPr>
              <w:t xml:space="preserve">Section 4 for the payment; section 5 for the employee's account and the payroll portal account</w:t>
            </w:r>
          </w:p>
        </w:tc>
      </w:tr>
    </w:tbl>
    <w:p>
      <w:pPr>
        <w:spacing w:after="120" w:line="120"/>
      </w:pPr>
      <w:r>
        <w:rPr>
          <w:sz w:val="4"/>
          <w:szCs w:val="4"/>
        </w:rPr>
        <w:t xml:space="preserve"/>
      </w:r>
    </w:p>
    <w:p>
      <w:pPr>
        <w:spacing w:after="130" w:line="262"/>
      </w:pPr>
      <w:r>
        <w:t xml:space="preserve">Where a payment has left the organization, the severity assigned is not lower than the PLN-IR-001 level that requires executive notification, regardless of the amount, because the recovery decision and the insurer notification both need executive authority within the first hour.</w:t>
      </w:r>
    </w:p>
    <w:p>
      <w:pPr>
        <w:spacing w:after="60" w:line="120"/>
      </w:pPr>
      <w:r>
        <w:rPr>
          <w:sz w:val="4"/>
          <w:szCs w:val="4"/>
        </w:rPr>
        <w:t xml:space="preserve"/>
      </w:r>
    </w:p>
    <w:p>
      <w:pPr>
        <w:pStyle w:val="Heading1"/>
        <w:keepNext/>
        <w:keepLines/>
        <w:pBdr>
          <w:bottom w:val="single" w:color="D4DAE0" w:sz="4" w:space="4"/>
        </w:pBdr>
        <w:spacing w:after="140" w:before="300"/>
      </w:pPr>
      <w:bookmarkStart w:name="_RG0011" w:id="1"/>
      <w:r>
        <w:t xml:space="preserve">4.  Fraudulent payment response</w:t>
      </w:r>
      <w:bookmarkEnd w:id="1"/>
    </w:p>
    <w:p>
      <w:pPr>
        <w:spacing w:after="130" w:line="262"/>
      </w:pPr>
      <w:r>
        <w:t xml:space="preserve">This section applies whenever money has left the organization on fraudulent instructions, or a payment is in the process of being released. The finance lead owns this track. The incident lead runs the account takeover track in parallel and does not delay the bank call for it.</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FIRST CALL</w:t>
            </w:r>
          </w:p>
          <w:p>
            <w:pPr>
              <w:spacing w:after="0" w:line="262"/>
            </w:pPr>
            <w:r>
              <w:t xml:space="preserve">The first external call is to the fraud line of the organization's own bank, the bank that sent the money, requesting a recall of the payment. The FBI's guidance is to contact the originating financial institution as soon as fraud is recognized, request a recall or reversal, and ask for a Hold Harmless Letter or Letter of Indemnity. Every other step in this section can wait thirty minutes. That one cannot.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2" w:id="1"/>
      <w:r>
        <w:t xml:space="preserve">4.1  First hour: fraudulent payment</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1364"/>
        <w:gridCol w:w="3995"/>
        <w:gridCol w:w="1559"/>
        <w:gridCol w:w="2341"/>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 from discovery</w:t>
            </w:r>
          </w:p>
        </w:tc>
        <w:tc>
          <w:tcPr>
            <w:tcW w:type="dxa" w:w="399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0 to 10 minutes</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Stop any further payments to the same bank details, and hold all pending payments released on email instructions in the last 30 days until each is verified by phone on file.</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Payment hold record listing each held payment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0 to 30 minutes</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Call the bank's fraud or wire operations line, using the number on the bank's website or the back of the card, not the relationship manager's email. Report the payment as fraud, request a recall or reversal, and ask the bank to contact the receiving bank. Ask for a Hold Harmless Letter or Letter of Indemnity. Record the bank's reference.</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Appendix C bank recall request record, with bank reference and time of call</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0 to 30 minutes</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Notify the incident lead and the executive sponsor named in PLN-IR-001 by phone. Declare the incident.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Incident log entry with declaration time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File a complaint at ic3.gov with the full transaction details: amount, date, sending and receiving bank, receiving account number and name, and the bank reference from step 2. Record the IC3 complaint number.</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Finance lead, with incident lead</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IC3 submission confirmation saved to the incident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Preserve every email in the fraudulent conversation, including the attacker's messages, with full headers. Do not delete, move, reply to or forward them outside the incident team. Export them as described in 4.4.</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Incident lead or email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Exported message files and header text, with hash or file listing</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Notify the cyber or crime insurer using the claims contact in the policy, before engaging any outside firm the insurer has not approved.</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Executive sponsor or finance lead</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Insurer notification time and claim reference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3995"/>
            <w:shd w:fill="FFFFFF" w:color="auto" w:val="clear"/>
            <w:tcMar>
              <w:top w:type="dxa" w:w="70"/>
              <w:left w:type="dxa" w:w="100"/>
              <w:bottom w:type="dxa" w:w="70"/>
              <w:right w:type="dxa" w:w="100"/>
            </w:tcMar>
            <w:vAlign w:val="top"/>
          </w:tcPr>
          <w:p>
            <w:pPr>
              <w:spacing w:after="0" w:before="0" w:line="252"/>
            </w:pPr>
            <w:r>
              <w:rPr>
                <w:sz w:val="17"/>
                <w:szCs w:val="17"/>
              </w:rPr>
              <w:t xml:space="preserve">Contact the genuine counterparty by a phone number held on file before the incident to confirm they did not change their details, and to warn them that one side of the conversation is compromised.</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Entry in Appendix E notification log</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Within 60 minutes</w:t>
            </w:r>
          </w:p>
        </w:tc>
        <w:tc>
          <w:tcPr>
            <w:tcW w:type="dxa" w:w="3995"/>
            <w:shd w:fill="F2F4F6" w:color="auto" w:val="clear"/>
            <w:tcMar>
              <w:top w:type="dxa" w:w="70"/>
              <w:left w:type="dxa" w:w="100"/>
              <w:bottom w:type="dxa" w:w="70"/>
              <w:right w:type="dxa" w:w="100"/>
            </w:tcMar>
            <w:vAlign w:val="top"/>
          </w:tcPr>
          <w:p>
            <w:pPr>
              <w:spacing w:after="0" w:before="0" w:line="252"/>
            </w:pPr>
            <w:r>
              <w:rPr>
                <w:sz w:val="17"/>
                <w:szCs w:val="17"/>
              </w:rPr>
              <w:t xml:space="preserve">Start the account takeover track in section 5 for every internal mailbox that took part in the conversation.</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Section 5 first-hour table opened</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3" w:id="1"/>
      <w:r>
        <w:t xml:space="preserve">4.2  Bank contact and recall</w:t>
      </w:r>
      <w:bookmarkEnd w:id="1"/>
    </w:p>
    <w:p>
      <w:pPr>
        <w:spacing w:after="130" w:line="262"/>
      </w:pPr>
      <w:r>
        <w:t xml:space="preserve">The call is made to the bank that sent the payment, not the receiving bank. The sending bank has the relationship with the receiving bank and the payment messaging to request a return. The finance lead has the following ready before dialing, and completes Appendix C during the call:</w:t>
      </w:r>
    </w:p>
    <w:p>
      <w:pPr>
        <w:pStyle w:val="ListParagraph"/>
        <w:numPr>
          <w:ilvl w:val="0"/>
          <w:numId w:val="2"/>
        </w:numPr>
        <w:spacing w:after="60" w:line="262"/>
      </w:pPr>
      <w:r>
        <w:t xml:space="preserve">The organization's account number from which the payment was sent.</w:t>
      </w:r>
    </w:p>
    <w:p>
      <w:pPr>
        <w:pStyle w:val="ListParagraph"/>
        <w:numPr>
          <w:ilvl w:val="0"/>
          <w:numId w:val="2"/>
        </w:numPr>
        <w:spacing w:after="60" w:line="262"/>
      </w:pPr>
      <w:r>
        <w:t xml:space="preserve">Payment amount, currency, value date and time of release.</w:t>
      </w:r>
    </w:p>
    <w:p>
      <w:pPr>
        <w:pStyle w:val="ListParagraph"/>
        <w:numPr>
          <w:ilvl w:val="0"/>
          <w:numId w:val="2"/>
        </w:numPr>
        <w:spacing w:after="60" w:line="262"/>
      </w:pPr>
      <w:r>
        <w:t xml:space="preserve">The payment reference or trace number from the online banking confirmation.</w:t>
      </w:r>
    </w:p>
    <w:p>
      <w:pPr>
        <w:pStyle w:val="ListParagraph"/>
        <w:numPr>
          <w:ilvl w:val="0"/>
          <w:numId w:val="2"/>
        </w:numPr>
        <w:spacing w:after="60" w:line="262"/>
      </w:pPr>
      <w:r>
        <w:t xml:space="preserve">Beneficiary name, account number, routing or SWIFT code and receiving bank name exactly as entered.</w:t>
      </w:r>
    </w:p>
    <w:p>
      <w:pPr>
        <w:pStyle w:val="ListParagraph"/>
        <w:numPr>
          <w:ilvl w:val="0"/>
          <w:numId w:val="2"/>
        </w:numPr>
        <w:spacing w:after="60" w:line="262"/>
      </w:pPr>
      <w:r>
        <w:t xml:space="preserve">A one-sentence statement of the fraud: for example, the payment was made to bank details supplied in an email that did not come from the supplier.</w:t>
      </w:r>
    </w:p>
    <w:p>
      <w:pPr>
        <w:spacing w:after="130" w:line="262"/>
      </w:pPr>
      <w:r>
        <w:t xml:space="preserve">The finance lead asks the bank four things and records each answer: whether a recall or reversal request has been sent to the receiving bank and when; the bank's fraud case reference; whether the bank will issue a Hold Harmless Letter or Letter of Indemnity to the receiving bank; and the name and direct line of the person handling the case. The finance lead asks what else the bank needs from the organization, and provides it the same day. Bank policies differ, and the FBI's guidance notes this; the organization does not assume one bank will do what another did.</w:t>
      </w:r>
    </w:p>
    <w:p>
      <w:pPr>
        <w:spacing w:after="130" w:line="262"/>
      </w:pPr>
      <w:r>
        <w:t xml:space="preserve">If the payment was ACH rather than wire, the finance lead tells the bank so explicitly, because return rules and windows differ by payment type. If the payment was by check, the bank is asked to stop payment. If gift cards were bought, the finance lead calls the card issuer's number on the back of the card with the card numbers and receipts.</w:t>
      </w:r>
    </w:p>
    <w:p>
      <w:pPr>
        <w:spacing w:after="130" w:line="262"/>
      </w:pPr>
      <w:r>
        <w:t xml:space="preserve">The bank is called again at the end of the first business day and each business day after that until it confirms the outcome: funds frozen, funds returned, or funds not recoverable. Each call is logged in Appendix C.</w:t>
      </w:r>
    </w:p>
    <w:p>
      <w:pPr>
        <w:spacing w:after="60" w:line="120"/>
      </w:pPr>
      <w:r>
        <w:rPr>
          <w:sz w:val="4"/>
          <w:szCs w:val="4"/>
        </w:rPr>
        <w:t xml:space="preserve"/>
      </w:r>
    </w:p>
    <w:p>
      <w:pPr>
        <w:pStyle w:val="Heading2"/>
        <w:keepNext/>
        <w:keepLines/>
        <w:spacing w:after="90" w:before="220"/>
      </w:pPr>
      <w:bookmarkStart w:name="_RG0014" w:id="1"/>
      <w:r>
        <w:t xml:space="preserve">4.3  Reporting to IC3 and law enforcement</w:t>
      </w:r>
      <w:bookmarkEnd w:id="1"/>
    </w:p>
    <w:p>
      <w:pPr>
        <w:spacing w:after="130" w:line="262"/>
      </w:pPr>
      <w:r>
        <w:t xml:space="preserve">The organization files with the FBI's Internet Crime Complaint Center at ic3.gov for every fraudulent payment, whatever the amount, and for every attempted fraud where the attacker's bank details are known. The FBI's 2024 public service announcement on business email compromise asks victims to file a complaint as soon as possible regardless of the amount lost. IC3 states that a complaint should contain all required data in the fields provided, including banking information.</w:t>
      </w:r>
    </w:p>
    <w:p>
      <w:pPr>
        <w:spacing w:after="130" w:line="262"/>
      </w:pPr>
      <w:r>
        <w:t xml:space="preserve">IC3 operates a Recovery Asset Team, established in 2018, which works with financial institutions to freeze funds through the Financial Fraud Kill Chain. IC3 states that complaints are triaged and, if criteria are met, transaction details are forwarded to the receiving bank. IC3 does not publish the criteria, and this playbook does not state them. Its published material says the process is more effective when complaints are filed as quickly as possible. International transfers are coordinated through FinCEN's Rapid Response Team and FBI legal attaché offices.</w:t>
      </w:r>
    </w:p>
    <w:p>
      <w:pPr>
        <w:spacing w:after="130" w:line="262"/>
      </w:pPr>
      <w:r>
        <w:t xml:space="preserve">FinCEN's Rapid Response Program is initiated by the victim or its bank filing a complaint with law enforcement, either through IC3 or the nearest US Secret Service field office. Victims do not contact FinCEN directly. FinCEN states the program has had greater success when fraudulent wires are reported to law enforcement within 72 hours of the transaction, and that victims should contact their financial institution at the time they file the complaint.</w:t>
      </w:r>
    </w:p>
    <w:p>
      <w:pPr>
        <w:spacing w:after="130" w:line="262"/>
      </w:pPr>
      <w:r>
        <w:t xml:space="preserve">IC3 states that it does not work with any non-law enforcement entity, such as law firms or recovery services, to recover funds. Any party offering to recover the funds for a fee is treated as a further fraud attempt and reported.</w:t>
      </w:r>
    </w:p>
    <w:p>
      <w:pPr>
        <w:spacing w:after="130" w:line="262"/>
      </w:pPr>
      <w:r>
        <w:t xml:space="preserve">The incident lead also notifies local police where the insurer or bank requires a police report reference, and records the reference.</w:t>
      </w:r>
    </w:p>
    <w:p>
      <w:pPr>
        <w:spacing w:after="60" w:line="120"/>
      </w:pPr>
      <w:r>
        <w:rPr>
          <w:sz w:val="4"/>
          <w:szCs w:val="4"/>
        </w:rPr>
        <w:t xml:space="preserve"/>
      </w:r>
    </w:p>
    <w:p>
      <w:pPr>
        <w:pStyle w:val="Heading2"/>
        <w:keepNext/>
        <w:keepLines/>
        <w:spacing w:after="90" w:before="220"/>
      </w:pPr>
      <w:bookmarkStart w:name="_RG0015" w:id="1"/>
      <w:r>
        <w:t xml:space="preserve">4.4  Preserving the evidence</w:t>
      </w:r>
      <w:bookmarkEnd w:id="1"/>
    </w:p>
    <w:p>
      <w:pPr>
        <w:spacing w:after="130" w:line="262"/>
      </w:pPr>
      <w:r>
        <w:t xml:space="preserve">The fraudulent emails are the primary evidence for the bank, IC3, the insurer and the scoping work in section 6. They are preserved as follows:</w:t>
      </w:r>
    </w:p>
    <w:p>
      <w:pPr>
        <w:pStyle w:val="ListParagraph"/>
        <w:numPr>
          <w:ilvl w:val="0"/>
          <w:numId w:val="3"/>
        </w:numPr>
        <w:spacing w:after="60" w:line="262"/>
      </w:pPr>
      <w:r>
        <w:t xml:space="preserve">Do not delete any message in the conversation, including the attacker's. Do not reply to the attacker. Do not forward messages to personal accounts or to anyone outside the incident team.</w:t>
      </w:r>
    </w:p>
    <w:p>
      <w:pPr>
        <w:pStyle w:val="ListParagraph"/>
        <w:numPr>
          <w:ilvl w:val="0"/>
          <w:numId w:val="3"/>
        </w:numPr>
        <w:spacing w:after="60" w:line="262"/>
      </w:pPr>
      <w:r>
        <w:t xml:space="preserve">For each message, capture the full internet headers. In Outlook, open the message and use File, Properties, where the headers appear in the Internet headers box. In Gmail, open the message, use More next to Reply, then Show original, and copy the result. Paste each set of headers into a text file named with the date and sender.</w:t>
      </w:r>
    </w:p>
    <w:p>
      <w:pPr>
        <w:pStyle w:val="ListParagraph"/>
        <w:numPr>
          <w:ilvl w:val="0"/>
          <w:numId w:val="3"/>
        </w:numPr>
        <w:spacing w:after="60" w:line="262"/>
      </w:pPr>
      <w:r>
        <w:t xml:space="preserve">Export each message as a file that retains its headers: .msg or .eml from Outlook, or Download original from Gmail's Show original page.</w:t>
      </w:r>
    </w:p>
    <w:p>
      <w:pPr>
        <w:pStyle w:val="ListParagraph"/>
        <w:numPr>
          <w:ilvl w:val="0"/>
          <w:numId w:val="3"/>
        </w:numPr>
        <w:spacing w:after="60" w:line="262"/>
      </w:pPr>
      <w:r>
        <w:t xml:space="preserve">Save attachments, particularly invoices with changed bank details, in their original form.</w:t>
      </w:r>
    </w:p>
    <w:p>
      <w:pPr>
        <w:pStyle w:val="ListParagraph"/>
        <w:numPr>
          <w:ilvl w:val="0"/>
          <w:numId w:val="3"/>
        </w:numPr>
        <w:spacing w:after="60" w:line="262"/>
      </w:pPr>
      <w:r>
        <w:t xml:space="preserve">Record the file names, the person who exported them, the time, and a file hash where the organization has a tool to produce one, in the incident log.</w:t>
      </w:r>
    </w:p>
    <w:p>
      <w:pPr>
        <w:pStyle w:val="ListParagraph"/>
        <w:numPr>
          <w:ilvl w:val="0"/>
          <w:numId w:val="3"/>
        </w:numPr>
        <w:spacing w:after="60" w:line="262"/>
      </w:pPr>
      <w:r>
        <w:t xml:space="preserve">Where the email platform supports a litigation hold or retention hold on a mailbox, the email administrator places one on every mailbox in the conversation for the duration of the incident and any claim.</w:t>
      </w:r>
    </w:p>
    <w:p>
      <w:pPr>
        <w:spacing w:after="130" w:line="262"/>
      </w:pPr>
      <w:r>
        <w:t xml:space="preserve">Screenshots supplement exports; they do not replace them, because a screenshot does not carry the headers that show where a message came from.</w:t>
      </w:r>
    </w:p>
    <w:p>
      <w:pPr>
        <w:spacing w:after="60" w:line="120"/>
      </w:pPr>
      <w:r>
        <w:rPr>
          <w:sz w:val="4"/>
          <w:szCs w:val="4"/>
        </w:rPr>
        <w:t xml:space="preserve"/>
      </w:r>
    </w:p>
    <w:p>
      <w:pPr>
        <w:pStyle w:val="Heading2"/>
        <w:keepNext/>
        <w:keepLines/>
        <w:spacing w:after="90" w:before="220"/>
      </w:pPr>
      <w:bookmarkStart w:name="_RG0016" w:id="1"/>
      <w:r>
        <w:t xml:space="preserve">4.5  Insurer notification</w:t>
      </w:r>
      <w:bookmarkEnd w:id="1"/>
    </w:p>
    <w:p>
      <w:pPr>
        <w:spacing w:after="130" w:line="262"/>
      </w:pPr>
      <w:r>
        <w:t xml:space="preserve">Most cyber and crime policies require notice within a stated period and require the insured to use the insurer's approved incident response, legal and forensic firms. Engaging a firm before notifying can affect coverage. The executive sponsor notifies the insurer within the first hour, using the claims contact in the policy, and records the time and reference. The policy's definitions decide whether a redirected payment falls under a cyber policy, a crime policy, a social engineering endorsement or none; the finance lead confirms this with the broker on the first business day and does not assume coverage.</w:t>
      </w:r>
    </w:p>
    <w:p>
      <w:pPr>
        <w:spacing w:after="60" w:line="120"/>
      </w:pPr>
      <w:r>
        <w:rPr>
          <w:sz w:val="4"/>
          <w:szCs w:val="4"/>
        </w:rPr>
        <w:t xml:space="preserve"/>
      </w:r>
    </w:p>
    <w:p>
      <w:pPr>
        <w:pStyle w:val="Heading2"/>
        <w:keepNext/>
        <w:keepLines/>
        <w:spacing w:after="90" w:before="220"/>
      </w:pPr>
      <w:bookmarkStart w:name="_RG0017" w:id="1"/>
      <w:r>
        <w:t xml:space="preserve">4.6  Hours 1 to 72</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656"/>
        <w:gridCol w:w="4775"/>
        <w:gridCol w:w="1364"/>
        <w:gridCol w:w="1951"/>
      </w:tblGrid>
      <w:tr>
        <w:trPr>
          <w:cantSplit/>
          <w:tblHeader/>
        </w:trPr>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Window</w:t>
            </w:r>
          </w:p>
        </w:tc>
        <w:tc>
          <w:tcPr>
            <w:tcW w:type="dxa" w:w="477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Same business day</w:t>
            </w:r>
          </w:p>
        </w:tc>
        <w:tc>
          <w:tcPr>
            <w:tcW w:type="dxa" w:w="4775"/>
            <w:shd w:fill="FFFFFF" w:color="auto" w:val="clear"/>
            <w:tcMar>
              <w:top w:type="dxa" w:w="70"/>
              <w:left w:type="dxa" w:w="100"/>
              <w:bottom w:type="dxa" w:w="70"/>
              <w:right w:type="dxa" w:w="100"/>
            </w:tcMar>
            <w:vAlign w:val="top"/>
          </w:tcPr>
          <w:p>
            <w:pPr>
              <w:spacing w:after="0" w:before="0" w:line="252"/>
            </w:pPr>
            <w:r>
              <w:rPr>
                <w:sz w:val="17"/>
                <w:szCs w:val="17"/>
              </w:rPr>
              <w:t xml:space="preserve">Second call to the bank for status; provide any documents the bank has requested.</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Appendix C call log</w:t>
            </w:r>
          </w:p>
        </w:tc>
      </w:tr>
      <w:tr>
        <w:trPr>
          <w:cantSplit/>
        </w:trPr>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Same business day</w:t>
            </w:r>
          </w:p>
        </w:tc>
        <w:tc>
          <w:tcPr>
            <w:tcW w:type="dxa" w:w="4775"/>
            <w:shd w:fill="F2F4F6" w:color="auto" w:val="clear"/>
            <w:tcMar>
              <w:top w:type="dxa" w:w="70"/>
              <w:left w:type="dxa" w:w="100"/>
              <w:bottom w:type="dxa" w:w="70"/>
              <w:right w:type="dxa" w:w="100"/>
            </w:tcMar>
            <w:vAlign w:val="top"/>
          </w:tcPr>
          <w:p>
            <w:pPr>
              <w:spacing w:after="0" w:before="0" w:line="252"/>
            </w:pPr>
            <w:r>
              <w:rPr>
                <w:sz w:val="17"/>
                <w:szCs w:val="17"/>
              </w:rPr>
              <w:t xml:space="preserve">Review all payments released in the previous 90 days to new or changed bank details, and confirm each with the payee by phone on file.</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Payment review list with confirmation result per payment</w:t>
            </w:r>
          </w:p>
        </w:tc>
      </w:tr>
      <w:tr>
        <w:trPr>
          <w:cantSplit/>
        </w:trPr>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Same business day</w:t>
            </w:r>
          </w:p>
        </w:tc>
        <w:tc>
          <w:tcPr>
            <w:tcW w:type="dxa" w:w="4775"/>
            <w:shd w:fill="FFFFFF" w:color="auto" w:val="clear"/>
            <w:tcMar>
              <w:top w:type="dxa" w:w="70"/>
              <w:left w:type="dxa" w:w="100"/>
              <w:bottom w:type="dxa" w:w="70"/>
              <w:right w:type="dxa" w:w="100"/>
            </w:tcMar>
            <w:vAlign w:val="top"/>
          </w:tcPr>
          <w:p>
            <w:pPr>
              <w:spacing w:after="0" w:before="0" w:line="252"/>
            </w:pPr>
            <w:r>
              <w:rPr>
                <w:sz w:val="17"/>
                <w:szCs w:val="17"/>
              </w:rPr>
              <w:t xml:space="preserve">Notify the counterparties identified in section 7 who may have received fraudulent instructions.</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Incident lead and finance lead</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Appendix E notification log</w:t>
            </w:r>
          </w:p>
        </w:tc>
      </w:tr>
      <w:tr>
        <w:trPr>
          <w:cantSplit/>
        </w:trPr>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Within 24 hours</w:t>
            </w:r>
          </w:p>
        </w:tc>
        <w:tc>
          <w:tcPr>
            <w:tcW w:type="dxa" w:w="4775"/>
            <w:shd w:fill="F2F4F6" w:color="auto" w:val="clear"/>
            <w:tcMar>
              <w:top w:type="dxa" w:w="70"/>
              <w:left w:type="dxa" w:w="100"/>
              <w:bottom w:type="dxa" w:w="70"/>
              <w:right w:type="dxa" w:w="100"/>
            </w:tcMar>
            <w:vAlign w:val="top"/>
          </w:tcPr>
          <w:p>
            <w:pPr>
              <w:spacing w:after="0" w:before="0" w:line="252"/>
            </w:pPr>
            <w:r>
              <w:rPr>
                <w:sz w:val="17"/>
                <w:szCs w:val="17"/>
              </w:rPr>
              <w:t xml:space="preserve">Complete the account takeover first hour (section 5) for every mailbox involved, and start the scoping in section 6.</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Appendix D worksheet per mailbox</w:t>
            </w:r>
          </w:p>
        </w:tc>
      </w:tr>
      <w:tr>
        <w:trPr>
          <w:cantSplit/>
        </w:trPr>
        <w:tc>
          <w:tcPr>
            <w:tcW w:type="dxa" w:w="1656"/>
            <w:shd w:fill="FFFFFF" w:color="auto" w:val="clear"/>
            <w:tcMar>
              <w:top w:type="dxa" w:w="70"/>
              <w:left w:type="dxa" w:w="100"/>
              <w:bottom w:type="dxa" w:w="70"/>
              <w:right w:type="dxa" w:w="100"/>
            </w:tcMar>
            <w:vAlign w:val="top"/>
          </w:tcPr>
          <w:p>
            <w:pPr>
              <w:spacing w:after="0" w:before="0" w:line="252"/>
            </w:pPr>
            <w:r>
              <w:rPr>
                <w:sz w:val="17"/>
                <w:szCs w:val="17"/>
              </w:rPr>
              <w:t xml:space="preserve">Within 72 hours</w:t>
            </w:r>
          </w:p>
        </w:tc>
        <w:tc>
          <w:tcPr>
            <w:tcW w:type="dxa" w:w="4775"/>
            <w:shd w:fill="FFFFFF" w:color="auto" w:val="clear"/>
            <w:tcMar>
              <w:top w:type="dxa" w:w="70"/>
              <w:left w:type="dxa" w:w="100"/>
              <w:bottom w:type="dxa" w:w="70"/>
              <w:right w:type="dxa" w:w="100"/>
            </w:tcMar>
            <w:vAlign w:val="top"/>
          </w:tcPr>
          <w:p>
            <w:pPr>
              <w:spacing w:after="0" w:before="0" w:line="252"/>
            </w:pPr>
            <w:r>
              <w:rPr>
                <w:sz w:val="17"/>
                <w:szCs w:val="17"/>
              </w:rPr>
              <w:t xml:space="preserve">Confirm with the bank whether funds were frozen or returned. Update the IC3 complaint if new details emerge.</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Appendix C outcome entry</w:t>
            </w:r>
          </w:p>
        </w:tc>
      </w:tr>
      <w:tr>
        <w:trPr>
          <w:cantSplit/>
        </w:trPr>
        <w:tc>
          <w:tcPr>
            <w:tcW w:type="dxa" w:w="1656"/>
            <w:shd w:fill="F2F4F6" w:color="auto" w:val="clear"/>
            <w:tcMar>
              <w:top w:type="dxa" w:w="70"/>
              <w:left w:type="dxa" w:w="100"/>
              <w:bottom w:type="dxa" w:w="70"/>
              <w:right w:type="dxa" w:w="100"/>
            </w:tcMar>
            <w:vAlign w:val="top"/>
          </w:tcPr>
          <w:p>
            <w:pPr>
              <w:spacing w:after="0" w:before="0" w:line="252"/>
            </w:pPr>
            <w:r>
              <w:rPr>
                <w:sz w:val="17"/>
                <w:szCs w:val="17"/>
              </w:rPr>
              <w:t xml:space="preserve">Within 72 hours</w:t>
            </w:r>
          </w:p>
        </w:tc>
        <w:tc>
          <w:tcPr>
            <w:tcW w:type="dxa" w:w="4775"/>
            <w:shd w:fill="F2F4F6" w:color="auto" w:val="clear"/>
            <w:tcMar>
              <w:top w:type="dxa" w:w="70"/>
              <w:left w:type="dxa" w:w="100"/>
              <w:bottom w:type="dxa" w:w="70"/>
              <w:right w:type="dxa" w:w="100"/>
            </w:tcMar>
            <w:vAlign w:val="top"/>
          </w:tcPr>
          <w:p>
            <w:pPr>
              <w:spacing w:after="0" w:before="0" w:line="252"/>
            </w:pPr>
            <w:r>
              <w:rPr>
                <w:sz w:val="17"/>
                <w:szCs w:val="17"/>
              </w:rPr>
              <w:t xml:space="preserve">Decide with counsel whether a breach assessment is required (section 8).</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Incident lead and counsel</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Breach assessment decision record</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8" w:id="1"/>
      <w:r>
        <w:t xml:space="preserve">4.7  When funds are not recovered</w:t>
      </w:r>
      <w:bookmarkEnd w:id="1"/>
    </w:p>
    <w:p>
      <w:pPr>
        <w:spacing w:after="130" w:line="262"/>
      </w:pPr>
      <w:r>
        <w:t xml:space="preserve">If the bank confirms the funds are not recoverable, the finance lead records the loss, informs the executive sponsor, and confirms with the insurer what the claim requires. Whether the organization still owes the genuine supplier, or a customer still owes the organization, is a commercial and legal question that depends on the contract and on whose systems were compromised. It is referred to counsel and is not settled by email with the counterparty. The after-action record in PLN-IR-001 captures the control that failed.</w:t>
      </w:r>
    </w:p>
    <w:p>
      <w:pPr>
        <w:spacing w:after="60" w:line="120"/>
      </w:pPr>
      <w:r>
        <w:rPr>
          <w:sz w:val="4"/>
          <w:szCs w:val="4"/>
        </w:rPr>
        <w:t xml:space="preserve"/>
      </w:r>
    </w:p>
    <w:p>
      <w:pPr>
        <w:pStyle w:val="Heading1"/>
        <w:keepNext/>
        <w:keepLines/>
        <w:pBdr>
          <w:bottom w:val="single" w:color="D4DAE0" w:sz="4" w:space="4"/>
        </w:pBdr>
        <w:spacing w:after="140" w:before="300"/>
      </w:pPr>
      <w:bookmarkStart w:name="_RG0019" w:id="1"/>
      <w:r>
        <w:t xml:space="preserve">5.  Account takeover containment</w:t>
      </w:r>
      <w:bookmarkEnd w:id="1"/>
    </w:p>
    <w:p>
      <w:pPr>
        <w:spacing w:after="130" w:line="262"/>
      </w:pPr>
      <w:r>
        <w:t xml:space="preserve">This section applies to every internal mailbox suspected of being accessed by an attacker, whether identified through a payment fraud or on its own. The email administrator performs the technical steps; the incident lead directs them and decides the order. The steps are written in platform-neutral terms, with Microsoft 365 and Google Workspace given as examples of where each control is found. Feature names were checked against vendor documentation when this playbook was written and are confirmed against current documentation at each annual review.</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PASSWORD RESET IS NOT CONTAINMENT</w:t>
            </w:r>
          </w:p>
          <w:p>
            <w:pPr>
              <w:spacing w:after="0" w:line="262"/>
            </w:pPr>
            <w:r>
              <w:t xml:space="preserve">An attacker who holds a valid refresh token, a registered sign-in method of their own, an app password, an inbox rule forwarding mail out, a mailbox delegate or an application consent keeps access after the password changes. Microsoft states that app passwords are not automatically revoked when a password is reset. The account is contained only when every item in the table below is complete.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0" w:id="1"/>
      <w:r>
        <w:t xml:space="preserve">5.1  First hour: account takeover</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360"/>
        <w:gridCol w:w="1559"/>
        <w:gridCol w:w="2340"/>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36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Export the identity provider sign-in log and the email audit log for the account, covering at least the previous 30 days or the full retention available, before changing anything. Log retention on some license tiers is seven days.</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Exported log files saved to incident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Block sign-in or disable the account. Where the account cannot be disabled because the business needs it, proceed directly to step 3.</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Admin audit entry; time recorded in incident log</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Reset the password to a new value not previously used, communicated to the user by phone or in person, never by email. For accounts synchronized from an on-premises directory, reset it there; Microsoft advises resetting twice for such accounts.</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Admin audit entry</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Revoke all sessions and refresh tokens for the account.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Admin audit entry</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Remove all registered multi-factor methods and app passwords and require the user to re-register, in person or on a video call with identity confirmed.</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List of methods removed; re-registration time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Review and remove inbox rules created by the attacker, including hidden rules. Record each rule before removal.</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Appendix D rule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Review and remove mailbox-level forwarding to any address the user did not set.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Appendix D forwarding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Review mailbox delegates and permissions; remove any the user and their manager did not grant.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Appendix D delegate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Review third-party application consents and connected applications for the user; remove any not approved.</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Appendix D application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Review administrative roles assigned to the user; remove any not authorized.</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Role list before and after</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Check Sent Items, Deleted Items and the message trace for mail sent by the attacker, and hand the recipient list to section 7.</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Appendix D sent mail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Search the sign-in log for the attacker's IP addresses, user agent and sign-in times across all accounts in the tenant.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Search query and result saved; list of other affected accounts</w:t>
            </w:r>
          </w:p>
        </w:tc>
      </w:tr>
    </w:tbl>
    <w:p>
      <w:pPr>
        <w:spacing w:after="120" w:line="120"/>
      </w:pPr>
      <w:r>
        <w:rPr>
          <w:sz w:val="4"/>
          <w:szCs w:val="4"/>
        </w:rPr>
        <w:t xml:space="preserve"/>
      </w:r>
    </w:p>
    <w:p>
      <w:pPr>
        <w:spacing w:after="130" w:line="262"/>
      </w:pPr>
      <w:r>
        <w:t xml:space="preserve">Steps 1 to 5 are completed within the first hour. Steps 6 to 12 are started within the first hour and completed the same day. Where step 12 identifies another account, that account begins its own first-hour table immediately.</w:t>
      </w:r>
    </w:p>
    <w:p>
      <w:pPr>
        <w:spacing w:after="60" w:line="120"/>
      </w:pPr>
      <w:r>
        <w:rPr>
          <w:sz w:val="4"/>
          <w:szCs w:val="4"/>
        </w:rPr>
        <w:t xml:space="preserve"/>
      </w:r>
    </w:p>
    <w:p>
      <w:pPr>
        <w:pStyle w:val="Heading2"/>
        <w:keepNext/>
        <w:keepLines/>
        <w:spacing w:after="90" w:before="220"/>
      </w:pPr>
      <w:bookmarkStart w:name="_RG0021" w:id="1"/>
      <w:r>
        <w:t xml:space="preserve">5.2  Platform examples</w:t>
      </w:r>
      <w:bookmarkEnd w:id="1"/>
    </w:p>
    <w:p>
      <w:pPr>
        <w:spacing w:after="130" w:line="262"/>
      </w:pPr>
      <w:r>
        <w:t xml:space="preserve">The table gives examples of where each containment control is found. It is not exhaustive and menu paths change; the email administrator records the actual path used in Appendix 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949"/>
        <w:gridCol w:w="4093"/>
        <w:gridCol w:w="3704"/>
      </w:tblGrid>
      <w:tr>
        <w:trPr>
          <w:cantSplit/>
          <w:tblHeader/>
        </w:trPr>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Control</w:t>
            </w:r>
          </w:p>
        </w:tc>
        <w:tc>
          <w:tcPr>
            <w:tcW w:type="dxa" w:w="409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Microsoft 365 example</w:t>
            </w:r>
          </w:p>
        </w:tc>
        <w:tc>
          <w:tcPr>
            <w:tcW w:type="dxa" w:w="370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Google Workspace example</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Block sign-in</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Microsoft Entra admin center, user, Account status, clear Account enabled</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Suspend the user in the Admin console</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Revoke sessions and tokens</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User overview page, Revoke sessions; or Revoke-MgUserSignInSession, which invalidates refresh tokens</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Admin console, user, Security, Sign-in cookies, Reset; Google notes Gmail sessions may take up to an hour to end</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Remove sign-in methods</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Authentication methods, Require re-register MFA, which deletes phone, Authenticator app and software OATH methods; delete existing app passwords separately</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Admin console, user, Security: remove security keys and passkeys, revoke application-specific passwords, generate new backup codes to invalidate old ones</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Inbox rules</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Get-InboxRule with -IncludeHidden, reviewing RedirectTo, ForwardTo and ForwardAsAttachmentTo</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User's Gmail settings, Filters and Blocked Addresses, reviewing any filter set to Forward it</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Mailbox forwarding</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Get-Mailbox, reviewing ForwardingAddress, ForwardingSmtpAddress and DeliverToMailboxAndForward</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User's Gmail settings, Forwarding and POP/IMAP</w:t>
            </w:r>
          </w:p>
        </w:tc>
      </w:tr>
      <w:tr>
        <w:trPr>
          <w:cantSplit/>
        </w:trPr>
        <w:tc>
          <w:tcPr>
            <w:tcW w:type="dxa" w:w="1949"/>
            <w:shd w:fill="F2F4F6" w:color="auto" w:val="clear"/>
            <w:tcMar>
              <w:top w:type="dxa" w:w="70"/>
              <w:left w:type="dxa" w:w="100"/>
              <w:bottom w:type="dxa" w:w="70"/>
              <w:right w:type="dxa" w:w="100"/>
            </w:tcMar>
            <w:vAlign w:val="top"/>
          </w:tcPr>
          <w:p>
            <w:pPr>
              <w:spacing w:after="0" w:before="0" w:line="252"/>
            </w:pPr>
            <w:r>
              <w:rPr>
                <w:sz w:val="17"/>
                <w:szCs w:val="17"/>
              </w:rPr>
              <w:t xml:space="preserve">Delegates</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Mailbox permissions: Full Access, Send As, Send on Behalf</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Delegation is available only where Mail delegation is enabled (Admin console, Apps, Google Workspace, Gmail, User settings); review the delegates on the user's account</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r>
              <w:rPr>
                <w:sz w:val="17"/>
                <w:szCs w:val="17"/>
              </w:rPr>
              <w:t xml:space="preserve">Application consents</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Review applications with user consent and remove those not approved</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Admin console, user, Security, Connected applications; Google notes removal is temporary unless the app is restricted</w:t>
            </w:r>
          </w:p>
        </w:tc>
      </w:tr>
    </w:tbl>
    <w:p>
      <w:pPr>
        <w:spacing w:after="120" w:line="120"/>
      </w:pPr>
      <w:r>
        <w:rPr>
          <w:sz w:val="4"/>
          <w:szCs w:val="4"/>
        </w:rPr>
        <w:t xml:space="preserve"/>
      </w:r>
    </w:p>
    <w:p>
      <w:pPr>
        <w:spacing w:after="130" w:line="262"/>
      </w:pPr>
      <w:r>
        <w:t xml:space="preserve">Two points differ between platforms and affect containment. In Microsoft 365, revoking sessions invalidates refresh tokens, but access tokens already issued remain valid until they expire, by default one hour, unless the application supports Continuous Access Evaluation. In Google Workspace, removing a connected application from a user is temporary and the application regains access when the user next signs in unless access is restricted with an application allowlist. In both cases the email administrator confirms containment by checking the sign-in log after the expected expiry rather than assuming the action took effect.</w:t>
      </w:r>
    </w:p>
    <w:p>
      <w:pPr>
        <w:spacing w:after="60" w:line="120"/>
      </w:pPr>
      <w:r>
        <w:rPr>
          <w:sz w:val="4"/>
          <w:szCs w:val="4"/>
        </w:rPr>
        <w:t xml:space="preserve"/>
      </w:r>
    </w:p>
    <w:p>
      <w:pPr>
        <w:pStyle w:val="Heading2"/>
        <w:keepNext/>
        <w:keepLines/>
        <w:spacing w:after="90" w:before="220"/>
      </w:pPr>
      <w:bookmarkStart w:name="_RG0022" w:id="1"/>
      <w:r>
        <w:t xml:space="preserve">5.3  Persistence checks in detail</w:t>
      </w:r>
      <w:bookmarkEnd w:id="1"/>
    </w:p>
    <w:p>
      <w:pPr>
        <w:keepNext/>
        <w:spacing w:after="70" w:before="180"/>
      </w:pPr>
      <w:r>
        <w:rPr>
          <w:b/>
          <w:bCs/>
          <w:color w:val="15314B"/>
          <w:sz w:val="19"/>
          <w:szCs w:val="19"/>
        </w:rPr>
        <w:t xml:space="preserve">Inbox rules</w:t>
      </w:r>
    </w:p>
    <w:p>
      <w:pPr>
        <w:spacing w:after="130" w:line="262"/>
      </w:pPr>
      <w:r>
        <w:t xml:space="preserve">Attackers create rules that forward copies of mail containing words such as invoice, payment, wire, bank or the counterparty's name, and rules that move replies from the genuine counterparty into a folder the account holder does not look at, so the attacker can answer them first. The email administrator lists every rule on the mailbox, including hidden rules, and for each rule records its name, conditions, actions, any external address, and its creation time from the audit log. Rules that the account holder confirms they created are kept. All others are removed after recording.</w:t>
      </w:r>
    </w:p>
    <w:p>
      <w:pPr>
        <w:keepNext/>
        <w:spacing w:after="70" w:before="180"/>
      </w:pPr>
      <w:r>
        <w:rPr>
          <w:b/>
          <w:bCs/>
          <w:color w:val="15314B"/>
          <w:sz w:val="19"/>
          <w:szCs w:val="19"/>
        </w:rPr>
        <w:t xml:space="preserve">Forwarding</w:t>
      </w:r>
    </w:p>
    <w:p>
      <w:pPr>
        <w:spacing w:after="130" w:line="262"/>
      </w:pPr>
      <w:r>
        <w:t xml:space="preserve">Forwarding set on the mailbox itself is separate from forwarding by rule, and both are checked. Any forwarding to an external address is removed unless documented and approved before the incident. The organization's standing control in section 11 blocks automatic external forwarding by default, which limits this route; the check is still made, because an exception or a default that predates the control may exist.</w:t>
      </w:r>
    </w:p>
    <w:p>
      <w:pPr>
        <w:keepNext/>
        <w:spacing w:after="70" w:before="180"/>
      </w:pPr>
      <w:r>
        <w:rPr>
          <w:b/>
          <w:bCs/>
          <w:color w:val="15314B"/>
          <w:sz w:val="19"/>
          <w:szCs w:val="19"/>
        </w:rPr>
        <w:t xml:space="preserve">Delegates and permissions</w:t>
      </w:r>
    </w:p>
    <w:p>
      <w:pPr>
        <w:spacing w:after="130" w:line="262"/>
      </w:pPr>
      <w:r>
        <w:t xml:space="preserve">A delegate with full access can read the mailbox; a delegate with send as permission can send mail that appears to come directly from the mailbox with no indication of the delegate. Microsoft's documentation states this for Send As. Any delegate or permission the account holder and their manager cannot explain is removed and recorded.</w:t>
      </w:r>
    </w:p>
    <w:p>
      <w:pPr>
        <w:keepNext/>
        <w:spacing w:after="70" w:before="180"/>
      </w:pPr>
      <w:r>
        <w:rPr>
          <w:b/>
          <w:bCs/>
          <w:color w:val="15314B"/>
          <w:sz w:val="19"/>
          <w:szCs w:val="19"/>
        </w:rPr>
        <w:t xml:space="preserve">Application consents</w:t>
      </w:r>
    </w:p>
    <w:p>
      <w:pPr>
        <w:spacing w:after="130" w:line="262"/>
      </w:pPr>
      <w:r>
        <w:t xml:space="preserve">An application granted permission to read mail continues to read it after a password reset, because it holds its own authorization. The email administrator lists every application with consent on the user's account, the permissions granted and the date of consent. Applications consented to during the suspected compromise period, or with mail read or send permissions the user cannot explain, are removed, and the organization-wide setting for user consent is reviewed under section 11.</w:t>
      </w:r>
    </w:p>
    <w:p>
      <w:pPr>
        <w:keepNext/>
        <w:spacing w:after="70" w:before="180"/>
      </w:pPr>
      <w:r>
        <w:rPr>
          <w:b/>
          <w:bCs/>
          <w:color w:val="15314B"/>
          <w:sz w:val="19"/>
          <w:szCs w:val="19"/>
        </w:rPr>
        <w:t xml:space="preserve">Sign-in methods and recovery details</w:t>
      </w:r>
    </w:p>
    <w:p>
      <w:pPr>
        <w:spacing w:after="130" w:line="262"/>
      </w:pPr>
      <w:r>
        <w:t xml:space="preserve">Attackers register their own authenticator app or phone number so that the next multi-factor challenge goes to them. All methods are removed and the user re-registers in a session where their identity has been confirmed in person or on video by someone who knows them. Recovery phone numbers and recovery email addresses are checked and corrected.</w:t>
      </w:r>
    </w:p>
    <w:p>
      <w:pPr>
        <w:spacing w:after="60" w:line="120"/>
      </w:pPr>
      <w:r>
        <w:rPr>
          <w:sz w:val="4"/>
          <w:szCs w:val="4"/>
        </w:rPr>
        <w:t xml:space="preserve"/>
      </w:r>
    </w:p>
    <w:p>
      <w:pPr>
        <w:pStyle w:val="Heading2"/>
        <w:keepNext/>
        <w:keepLines/>
        <w:spacing w:after="90" w:before="220"/>
      </w:pPr>
      <w:bookmarkStart w:name="_RG0023" w:id="1"/>
      <w:r>
        <w:t xml:space="preserve">5.4  Mailbox auditing</w:t>
      </w:r>
      <w:bookmarkEnd w:id="1"/>
    </w:p>
    <w:p>
      <w:pPr>
        <w:spacing w:after="130" w:line="262"/>
      </w:pPr>
      <w:r>
        <w:t xml:space="preserve">The scoping in section 6 depends on audit records existing for the period of compromise. Microsoft states that audit logging is on by default for Microsoft 365 organizations, but that it is not enabled by default for Microsoft 365 Business Basic, Business Standard and Business Premium licenses, or for unmanaged trial tenants, where it must be turned on manually. Its status is confirmed in Exchange Online PowerShell with Get-AdminAuditLogConfig, where UnifiedAuditLogIngestionEnabled must read True. Microsoft states that the same property always reads False if queried from Security and Compliance PowerShell, so the check is run in Exchange Online PowerShell.</w:t>
      </w:r>
    </w:p>
    <w:p>
      <w:pPr>
        <w:spacing w:after="130" w:line="262"/>
      </w:pPr>
      <w:r>
        <w:t xml:space="preserve">Mailbox audit logging records, by default, owner, delegate and admin actions including MailItemsAccessed, Send, SendAs, SendOnBehalf, UpdateInboxRules, SoftDelete and HardDelete. Microsoft states that MailItemsAccessed is enabled by default for users assigned Office 365 or Microsoft 365 E3 or E5 licenses. Audit records under Audit (Standard) are retained for 180 days.</w:t>
      </w:r>
    </w:p>
    <w:p>
      <w:pPr>
        <w:spacing w:after="130" w:line="262"/>
      </w:pPr>
      <w:r>
        <w:t xml:space="preserve">In Google Workspace, Gmail log events are available in the Admin console under Reporting, Audit and investigation, and through the security investigation tool in the editions that include it. User log events record password changes, 2-Step Verification enrollment changes and suspicious sign-ins.</w:t>
      </w:r>
    </w:p>
    <w:p>
      <w:pPr>
        <w:spacing w:after="130" w:line="262"/>
      </w:pPr>
      <w:r>
        <w:t xml:space="preserve">If auditing was not enabled before the incident, the email administrator records that fact in the incident log, enables it immediately, and the scoping in section 6 records what cannot be determined as a limitation. An incident that cannot establish what was read is treated, for breach assessment purposes, as if everything in the mailbox may have been read.</w:t>
      </w:r>
    </w:p>
    <w:p>
      <w:pPr>
        <w:spacing w:after="60" w:line="120"/>
      </w:pPr>
      <w:r>
        <w:rPr>
          <w:sz w:val="4"/>
          <w:szCs w:val="4"/>
        </w:rPr>
        <w:t xml:space="preserve"/>
      </w:r>
    </w:p>
    <w:p>
      <w:pPr>
        <w:pStyle w:val="Heading2"/>
        <w:keepNext/>
        <w:keepLines/>
        <w:spacing w:after="90" w:before="220"/>
      </w:pPr>
      <w:bookmarkStart w:name="_RG0024" w:id="1"/>
      <w:r>
        <w:t xml:space="preserve">5.5  Confirming containment</w:t>
      </w:r>
      <w:bookmarkEnd w:id="1"/>
    </w:p>
    <w:p>
      <w:pPr>
        <w:spacing w:after="130" w:line="262"/>
      </w:pPr>
      <w:r>
        <w:t xml:space="preserve">The email administrator confirms containment no earlier than two hours after the last containment step and records the result. Containment is confirmed when all of the following hold:</w:t>
      </w:r>
    </w:p>
    <w:p>
      <w:pPr>
        <w:pStyle w:val="ListParagraph"/>
        <w:numPr>
          <w:ilvl w:val="0"/>
          <w:numId w:val="2"/>
        </w:numPr>
        <w:spacing w:after="60" w:line="262"/>
      </w:pPr>
      <w:r>
        <w:t xml:space="preserve">No successful sign-in to the account from the attacker's IP addresses, devices or user agent after the revocation time.</w:t>
      </w:r>
    </w:p>
    <w:p>
      <w:pPr>
        <w:pStyle w:val="ListParagraph"/>
        <w:numPr>
          <w:ilvl w:val="0"/>
          <w:numId w:val="2"/>
        </w:numPr>
        <w:spacing w:after="60" w:line="262"/>
      </w:pPr>
      <w:r>
        <w:t xml:space="preserve">No inbox rule, forwarding, delegate or application consent on the account that the user has not confirmed.</w:t>
      </w:r>
    </w:p>
    <w:p>
      <w:pPr>
        <w:pStyle w:val="ListParagraph"/>
        <w:numPr>
          <w:ilvl w:val="0"/>
          <w:numId w:val="2"/>
        </w:numPr>
        <w:spacing w:after="60" w:line="262"/>
      </w:pPr>
      <w:r>
        <w:t xml:space="preserve">Only the sign-in methods the user re-registered are present.</w:t>
      </w:r>
    </w:p>
    <w:p>
      <w:pPr>
        <w:pStyle w:val="ListParagraph"/>
        <w:numPr>
          <w:ilvl w:val="0"/>
          <w:numId w:val="2"/>
        </w:numPr>
        <w:spacing w:after="60" w:line="262"/>
      </w:pPr>
      <w:r>
        <w:t xml:space="preserve">No other account in the tenant shows sign-ins from the attacker's sources, or every such account has completed its own first-hour table.</w:t>
      </w:r>
    </w:p>
    <w:p>
      <w:pPr>
        <w:spacing w:after="130" w:line="262"/>
      </w:pPr>
      <w:r>
        <w:t xml:space="preserve">The account is returned to the user only after containment is confirmed. The user is briefed on what was found and asked to report any further unexpected prompt or message immediately.</w:t>
      </w:r>
    </w:p>
    <w:p>
      <w:pPr>
        <w:spacing w:after="60" w:line="120"/>
      </w:pPr>
      <w:r>
        <w:rPr>
          <w:sz w:val="4"/>
          <w:szCs w:val="4"/>
        </w:rPr>
        <w:t xml:space="preserve"/>
      </w:r>
    </w:p>
    <w:p>
      <w:pPr>
        <w:pStyle w:val="Heading1"/>
        <w:keepNext/>
        <w:keepLines/>
        <w:pBdr>
          <w:bottom w:val="single" w:color="D4DAE0" w:sz="4" w:space="4"/>
        </w:pBdr>
        <w:spacing w:after="140" w:before="300"/>
      </w:pPr>
      <w:bookmarkStart w:name="_RG0025" w:id="1"/>
      <w:r>
        <w:t xml:space="preserve">6.  Scoping the compromise</w:t>
      </w:r>
      <w:bookmarkEnd w:id="1"/>
    </w:p>
    <w:p>
      <w:pPr>
        <w:spacing w:after="130" w:line="262"/>
      </w:pPr>
      <w:r>
        <w:t xml:space="preserve">Scoping answers four questions, each of which drives a later decision: when the attacker first had access, what they read, what they sent, and who they contacted. The incident lead assigns scoping to the email administrator, or to the forensic firm approved by the insurer, and it is recorded in one Appendix D worksheet per mailbox.</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EXPORT THE LOGS FIRST</w:t>
            </w:r>
          </w:p>
          <w:p>
            <w:pPr>
              <w:spacing w:after="0" w:line="262"/>
            </w:pPr>
            <w:r>
              <w:t xml:space="preserve">Sign-in logs in the identity provider may be retained for as little as seven days. Microsoft Entra ID Free retains sign-in and audit logs for seven days, and P1 and P2 for 30 days. Data that has expired cannot be recovered. Exporting the logs is the first step of containment for that reason, and it is repeated for every newly identified account.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6" w:id="1"/>
      <w:r>
        <w:t xml:space="preserve">6.1  When access began</w:t>
      </w:r>
      <w:bookmarkEnd w:id="1"/>
    </w:p>
    <w:p>
      <w:pPr>
        <w:spacing w:after="130" w:line="262"/>
      </w:pPr>
      <w:r>
        <w:t xml:space="preserve">The email administrator reviews the identity provider's sign-in log for the account and identifies the first successful sign-in that the account holder does not recognize, using IP address, location, device, browser or user agent, and application. Unsuccessful sign-ins and multi-factor prompts before that point are recorded, because they show how access was obtained: a password spray, a phishing page that relayed the multi-factor prompt, or a prompt the user approved without initiating.</w:t>
      </w:r>
    </w:p>
    <w:p>
      <w:pPr>
        <w:spacing w:after="130" w:line="262"/>
      </w:pPr>
      <w:r>
        <w:t xml:space="preserve">The start of the compromise period is the earlier of that first unrecognized sign-in and the creation time of the first attacker inbox rule or application consent. The end is the time containment was confirmed. Every later question is answered for that whole period.</w:t>
      </w:r>
    </w:p>
    <w:p>
      <w:pPr>
        <w:spacing w:after="60" w:line="120"/>
      </w:pPr>
      <w:r>
        <w:rPr>
          <w:sz w:val="4"/>
          <w:szCs w:val="4"/>
        </w:rPr>
        <w:t xml:space="preserve"/>
      </w:r>
    </w:p>
    <w:p>
      <w:pPr>
        <w:pStyle w:val="Heading2"/>
        <w:keepNext/>
        <w:keepLines/>
        <w:spacing w:after="90" w:before="220"/>
      </w:pPr>
      <w:bookmarkStart w:name="_RG0027" w:id="1"/>
      <w:r>
        <w:t xml:space="preserve">6.2  What was read</w:t>
      </w:r>
      <w:bookmarkEnd w:id="1"/>
    </w:p>
    <w:p>
      <w:pPr>
        <w:spacing w:after="130" w:line="262"/>
      </w:pPr>
      <w:r>
        <w:t xml:space="preserve">Where mailbox access auditing is available, such as the MailItemsAccessed action in Microsoft 365, the email administrator exports access events for the compromise period, filtered to the attacker's sessions, and lists the folders and messages accessed. Microsoft notes that this action records when mail data is accessed by protocols and clients even where there is no indication the item was read, so the list is treated as what the attacker could have read.</w:t>
      </w:r>
    </w:p>
    <w:p>
      <w:pPr>
        <w:spacing w:after="130" w:line="262"/>
      </w:pPr>
      <w:r>
        <w:t xml:space="preserve">Where only sign-in records exist, the conclusion recorded is that the attacker had access to the whole mailbox for the compromise period. That conclusion is passed to section 8.</w:t>
      </w:r>
    </w:p>
    <w:p>
      <w:pPr>
        <w:spacing w:after="130" w:line="262"/>
      </w:pPr>
      <w:r>
        <w:t xml:space="preserve">The email administrator also records whether the attacker accessed files through the same account, such as cloud storage or shared documents, because the same session tokens commonly reach them.</w:t>
      </w:r>
    </w:p>
    <w:p>
      <w:pPr>
        <w:spacing w:after="60" w:line="120"/>
      </w:pPr>
      <w:r>
        <w:rPr>
          <w:sz w:val="4"/>
          <w:szCs w:val="4"/>
        </w:rPr>
        <w:t xml:space="preserve"/>
      </w:r>
    </w:p>
    <w:p>
      <w:pPr>
        <w:pStyle w:val="Heading2"/>
        <w:keepNext/>
        <w:keepLines/>
        <w:spacing w:after="90" w:before="220"/>
      </w:pPr>
      <w:bookmarkStart w:name="_RG0028" w:id="1"/>
      <w:r>
        <w:t xml:space="preserve">6.3  What was sent</w:t>
      </w:r>
      <w:bookmarkEnd w:id="1"/>
    </w:p>
    <w:p>
      <w:pPr>
        <w:spacing w:after="130" w:line="262"/>
      </w:pPr>
      <w:r>
        <w:t xml:space="preserve">The email administrator runs a message trace for all mail sent from the account during the compromise period, and checks Sent Items and Deleted Items for messages the user did not send. Attackers often delete their sent messages; the trace shows them even when the mailbox does not. In Microsoft 365, message trace in the Exchange admin center searches up to 90 days, with ranges over ten days delivered as a downloadable report. In Google Workspace, Email Log Search returns delivery logs for messages within the past 30 days.</w:t>
      </w:r>
    </w:p>
    <w:p>
      <w:pPr>
        <w:spacing w:after="130" w:line="262"/>
      </w:pPr>
      <w:r>
        <w:t xml:space="preserve">Each message sent by the attacker is recorded with its recipients, subject, time and whether it carried payment instructions, attachments or links. The recipient list feeds directly into section 7.</w:t>
      </w:r>
    </w:p>
    <w:p>
      <w:pPr>
        <w:spacing w:after="60" w:line="120"/>
      </w:pPr>
      <w:r>
        <w:rPr>
          <w:sz w:val="4"/>
          <w:szCs w:val="4"/>
        </w:rPr>
        <w:t xml:space="preserve"/>
      </w:r>
    </w:p>
    <w:p>
      <w:pPr>
        <w:pStyle w:val="Heading2"/>
        <w:keepNext/>
        <w:keepLines/>
        <w:spacing w:after="90" w:before="220"/>
      </w:pPr>
      <w:bookmarkStart w:name="_RG0029" w:id="1"/>
      <w:r>
        <w:t xml:space="preserve">6.4  Who was contacted, and from where</w:t>
      </w:r>
      <w:bookmarkEnd w:id="1"/>
    </w:p>
    <w:p>
      <w:pPr>
        <w:spacing w:after="130" w:line="262"/>
      </w:pPr>
      <w:r>
        <w:t xml:space="preserve">Three routes of contact are checked, because the organization may have been impersonated without its own mailbox sending anything: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118"/>
        <w:gridCol w:w="4678"/>
        <w:gridCol w:w="1950"/>
      </w:tblGrid>
      <w:tr>
        <w:trPr>
          <w:cantSplit/>
          <w:tblHeader/>
        </w:trPr>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Route</w:t>
            </w:r>
          </w:p>
        </w:tc>
        <w:tc>
          <w:tcPr>
            <w:tcW w:type="dxa" w:w="467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it is found</w:t>
            </w:r>
          </w:p>
        </w:tc>
        <w:tc>
          <w:tcPr>
            <w:tcW w:type="dxa" w:w="195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Mail sent from the compromised mailbox</w:t>
            </w:r>
          </w:p>
        </w:tc>
        <w:tc>
          <w:tcPr>
            <w:tcW w:type="dxa" w:w="4678"/>
            <w:shd w:fill="FFFFFF" w:color="auto" w:val="clear"/>
            <w:tcMar>
              <w:top w:type="dxa" w:w="70"/>
              <w:left w:type="dxa" w:w="100"/>
              <w:bottom w:type="dxa" w:w="70"/>
              <w:right w:type="dxa" w:w="100"/>
            </w:tcMar>
            <w:vAlign w:val="top"/>
          </w:tcPr>
          <w:p>
            <w:pPr>
              <w:spacing w:after="0" w:before="0" w:line="252"/>
            </w:pPr>
            <w:r>
              <w:rPr>
                <w:sz w:val="17"/>
                <w:szCs w:val="17"/>
              </w:rPr>
              <w:t xml:space="preserve">Message trace and Sent Items for the compromise period</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Mail sent from a lookalike domain to people the mailbox corresponded with</w:t>
            </w:r>
          </w:p>
        </w:tc>
        <w:tc>
          <w:tcPr>
            <w:tcW w:type="dxa" w:w="4678"/>
            <w:shd w:fill="F2F4F6" w:color="auto" w:val="clear"/>
            <w:tcMar>
              <w:top w:type="dxa" w:w="70"/>
              <w:left w:type="dxa" w:w="100"/>
              <w:bottom w:type="dxa" w:w="70"/>
              <w:right w:type="dxa" w:w="100"/>
            </w:tcMar>
            <w:vAlign w:val="top"/>
          </w:tcPr>
          <w:p>
            <w:pPr>
              <w:spacing w:after="0" w:before="0" w:line="252"/>
            </w:pPr>
            <w:r>
              <w:rPr>
                <w:sz w:val="17"/>
                <w:szCs w:val="17"/>
              </w:rPr>
              <w:t xml:space="preserve">Reports from counterparties; inbound mail trace for replies arriving from lookalike addresses; the attacker's inbox rules, which often redirect those replies</w:t>
            </w:r>
          </w:p>
        </w:tc>
        <w:tc>
          <w:tcPr>
            <w:tcW w:type="dxa" w:w="1950"/>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 and finance lead</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Counterparty's own mailbox compromised</w:t>
            </w:r>
          </w:p>
        </w:tc>
        <w:tc>
          <w:tcPr>
            <w:tcW w:type="dxa" w:w="4678"/>
            <w:shd w:fill="FFFFFF" w:color="auto" w:val="clear"/>
            <w:tcMar>
              <w:top w:type="dxa" w:w="70"/>
              <w:left w:type="dxa" w:w="100"/>
              <w:bottom w:type="dxa" w:w="70"/>
              <w:right w:type="dxa" w:w="100"/>
            </w:tcMar>
            <w:vAlign w:val="top"/>
          </w:tcPr>
          <w:p>
            <w:pPr>
              <w:spacing w:after="0" w:before="0" w:line="252"/>
            </w:pPr>
            <w:r>
              <w:rPr>
                <w:sz w:val="17"/>
                <w:szCs w:val="17"/>
              </w:rPr>
              <w:t xml:space="preserve">Headers of the fraudulent messages showing they came from the counterparty's genuine domain and passed authentication</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 then the counterparty by phone on file</w:t>
            </w:r>
          </w:p>
        </w:tc>
      </w:tr>
    </w:tbl>
    <w:p>
      <w:pPr>
        <w:spacing w:after="120" w:line="120"/>
      </w:pPr>
      <w:r>
        <w:rPr>
          <w:sz w:val="4"/>
          <w:szCs w:val="4"/>
        </w:rPr>
        <w:t xml:space="preserve"/>
      </w:r>
    </w:p>
    <w:p>
      <w:pPr>
        <w:spacing w:after="130" w:line="262"/>
      </w:pPr>
      <w:r>
        <w:t xml:space="preserve">Where the headers show the fraudulent message came from the counterparty's genuine domain and passed SPF, DKIM and DMARC, the likeliest explanation is that the counterparty's mailbox was compromised. The finance lead tells the counterparty by phone on file, and records that the organization's own systems may not be the source.</w:t>
      </w:r>
    </w:p>
    <w:p>
      <w:pPr>
        <w:spacing w:after="60" w:line="120"/>
      </w:pPr>
      <w:r>
        <w:rPr>
          <w:sz w:val="4"/>
          <w:szCs w:val="4"/>
        </w:rPr>
        <w:t xml:space="preserve"/>
      </w:r>
    </w:p>
    <w:p>
      <w:pPr>
        <w:pStyle w:val="Heading2"/>
        <w:keepNext/>
        <w:keepLines/>
        <w:spacing w:after="90" w:before="220"/>
      </w:pPr>
      <w:bookmarkStart w:name="_RG0030" w:id="1"/>
      <w:r>
        <w:t xml:space="preserve">6.5  Other accounts</w:t>
      </w:r>
      <w:bookmarkEnd w:id="1"/>
    </w:p>
    <w:p>
      <w:pPr>
        <w:spacing w:after="130" w:line="262"/>
      </w:pPr>
      <w:r>
        <w:t xml:space="preserve">Attackers reuse infrastructure. The email administrator searches the sign-in log across all accounts for the attacker's IP addresses and user agent strings for the compromise period, and also searches for accounts that received the original phishing message, which is found by tracing the message that preceded the first unrecognized sign-in where it can be identified. Every account with a match runs the section 5 first-hour table.</w:t>
      </w:r>
    </w:p>
    <w:p>
      <w:pPr>
        <w:spacing w:after="60" w:line="120"/>
      </w:pPr>
      <w:r>
        <w:rPr>
          <w:sz w:val="4"/>
          <w:szCs w:val="4"/>
        </w:rPr>
        <w:t xml:space="preserve"/>
      </w:r>
    </w:p>
    <w:p>
      <w:pPr>
        <w:pStyle w:val="Heading1"/>
        <w:keepNext/>
        <w:keepLines/>
        <w:pBdr>
          <w:bottom w:val="single" w:color="D4DAE0" w:sz="4" w:space="4"/>
        </w:pBdr>
        <w:spacing w:after="140" w:before="300"/>
      </w:pPr>
      <w:bookmarkStart w:name="_RG0031" w:id="1"/>
      <w:r>
        <w:t xml:space="preserve">7.  Notifying customers and suppliers</w:t>
      </w:r>
      <w:bookmarkEnd w:id="1"/>
    </w:p>
    <w:p>
      <w:pPr>
        <w:spacing w:after="130" w:line="262"/>
      </w:pPr>
      <w:r>
        <w:t xml:space="preserve">Customers and suppliers who received fraudulent instructions that appeared to come from the organization, or whose genuine instructions were intercepted, are warned the same business day the recipient list is known. The aim is to stop the next payment, not to explain the incident. The communications approval route in PLN-IR-001 applies; warnings are approved by the incident lead and do not wait for the full investigation.</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A WARNING SENT BY EMAIL CAN BE INTERCEPTED BY THE SAME ATTACKER</w:t>
            </w:r>
          </w:p>
          <w:p>
            <w:pPr>
              <w:spacing w:after="0" w:line="262"/>
            </w:pPr>
            <w:r>
              <w:t xml:space="preserve">The first warning to a counterparty is made by phone, to a number held on file before the incident. Email follows as written confirmation, from a mailbox confirmed clean, and states that bank details will never be changed by email alone.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2" w:id="1"/>
      <w:r>
        <w:t xml:space="preserve">7.1  Who is notified</w:t>
      </w:r>
      <w:bookmarkEnd w:id="1"/>
    </w:p>
    <w:p>
      <w:pPr>
        <w:pStyle w:val="ListParagraph"/>
        <w:numPr>
          <w:ilvl w:val="0"/>
          <w:numId w:val="2"/>
        </w:numPr>
        <w:spacing w:after="60" w:line="262"/>
      </w:pPr>
      <w:r>
        <w:t xml:space="preserve">Every recipient of mail sent by the attacker from a compromised mailbox.</w:t>
      </w:r>
    </w:p>
    <w:p>
      <w:pPr>
        <w:pStyle w:val="ListParagraph"/>
        <w:numPr>
          <w:ilvl w:val="0"/>
          <w:numId w:val="2"/>
        </w:numPr>
        <w:spacing w:after="60" w:line="262"/>
      </w:pPr>
      <w:r>
        <w:t xml:space="preserve">Every counterparty who corresponded with a compromised mailbox about payments during the compromise period.</w:t>
      </w:r>
    </w:p>
    <w:p>
      <w:pPr>
        <w:pStyle w:val="ListParagraph"/>
        <w:numPr>
          <w:ilvl w:val="0"/>
          <w:numId w:val="2"/>
        </w:numPr>
        <w:spacing w:after="60" w:line="262"/>
      </w:pPr>
      <w:r>
        <w:t xml:space="preserve">Every customer or supplier who reports receiving instructions from a lookalike domain, and other counterparties of the same mailbox.</w:t>
      </w:r>
    </w:p>
    <w:p>
      <w:pPr>
        <w:pStyle w:val="ListParagraph"/>
        <w:numPr>
          <w:ilvl w:val="0"/>
          <w:numId w:val="2"/>
        </w:numPr>
        <w:spacing w:after="60" w:line="262"/>
      </w:pPr>
      <w:r>
        <w:t xml:space="preserve">Where the organization's domain or a lookalike was used to defraud customers broadly, all customers who pay the organization by bank transfer, by a general notice on the routes in 7.3.</w:t>
      </w:r>
    </w:p>
    <w:p>
      <w:pPr>
        <w:spacing w:after="60" w:line="120"/>
      </w:pPr>
      <w:r>
        <w:rPr>
          <w:sz w:val="4"/>
          <w:szCs w:val="4"/>
        </w:rPr>
        <w:t xml:space="preserve"/>
      </w:r>
    </w:p>
    <w:p>
      <w:pPr>
        <w:pStyle w:val="Heading2"/>
        <w:keepNext/>
        <w:keepLines/>
        <w:spacing w:after="90" w:before="220"/>
      </w:pPr>
      <w:bookmarkStart w:name="_RG0033" w:id="1"/>
      <w:r>
        <w:t xml:space="preserve">7.2  Procedure</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360"/>
        <w:gridCol w:w="1559"/>
        <w:gridCol w:w="2340"/>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36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Build the notification list from section 6 and from counterparty reports, prioritized by whether a payment is due in the next 14 days.</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Appendix E list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Call each counterparty using the number held on file in the accounts system or contract before the incident. Use the call script in Appendix F.</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Finance lead or account owner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Appendix E entry per call: time, person spoken to, outcome</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Send written confirmation using the Appendix F template from a mailbox confirmed contained.</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Account owner</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Copy of message sent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Where a counterparty reports having paid to fraudulent details, give them the IC3 guidance and advise them to call their own bank immediately. Record it.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Finance lead</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Appendix E outcome field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Where a counterparty cannot be reached by phone within one business day, escalate to the incident lead, who decides whether to send email only or to use another known contact.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Incident lead</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Decision recorded in Appendix 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4" w:id="1"/>
      <w:r>
        <w:t xml:space="preserve">7.3  When the organization's domain was used against its customers</w:t>
      </w:r>
      <w:bookmarkEnd w:id="1"/>
    </w:p>
    <w:p>
      <w:pPr>
        <w:spacing w:after="130" w:line="262"/>
      </w:pPr>
      <w:r>
        <w:t xml:space="preserve">If customers received fraudulent payment instructions from the organization's real domain, the mailbox was compromised and the steps above apply. If they came from a lookalike domain, the organization's systems may be unaffected, but its customers are still the target. In either case the incident lead decides, with the executive sponsor, whether to issue a general notice to all customers who pay by bank transfer, using the Appendix F general notice, through the customer portal, invoices, the website and account managers.</w:t>
      </w:r>
    </w:p>
    <w:p>
      <w:pPr>
        <w:spacing w:after="130" w:line="262"/>
      </w:pPr>
      <w:r>
        <w:t xml:space="preserve">For a lookalike domain, the email administrator records the domain, the registrar and hosting provider from public registration and DNS records, and reports abuse to the registrar and, where the lookalike sends mail through a known provider, to that provider. The domain is added to the organization's inbound block list. Takedown is not guaranteed and is not waited for before customers are warned.</w:t>
      </w:r>
    </w:p>
    <w:p>
      <w:pPr>
        <w:spacing w:after="60" w:line="120"/>
      </w:pPr>
      <w:r>
        <w:rPr>
          <w:sz w:val="4"/>
          <w:szCs w:val="4"/>
        </w:rPr>
        <w:t xml:space="preserve"/>
      </w:r>
    </w:p>
    <w:p>
      <w:pPr>
        <w:pStyle w:val="Heading1"/>
        <w:keepNext/>
        <w:keepLines/>
        <w:pBdr>
          <w:bottom w:val="single" w:color="D4DAE0" w:sz="4" w:space="4"/>
        </w:pBdr>
        <w:spacing w:after="140" w:before="300"/>
      </w:pPr>
      <w:bookmarkStart w:name="_RG0035" w:id="1"/>
      <w:r>
        <w:t xml:space="preserve">8.  Data breach assessment</w:t>
      </w:r>
      <w:bookmarkEnd w:id="1"/>
    </w:p>
    <w:p>
      <w:pPr>
        <w:spacing w:after="130" w:line="262"/>
      </w:pPr>
      <w:r>
        <w:t xml:space="preserve">A mailbox commonly holds personal information: employee records, customer account details, identity documents, health information sent by staff, payroll data, tax forms. When an attacker had access to a mailbox, the organization may have a duty to notify individuals, regulators or both. That determination is made through counsel and is not made by the incident team on its own.</w:t>
      </w:r>
    </w:p>
    <w:p>
      <w:pPr>
        <w:spacing w:after="60" w:line="120"/>
      </w:pPr>
      <w:r>
        <w:rPr>
          <w:sz w:val="4"/>
          <w:szCs w:val="4"/>
        </w:rPr>
        <w:t xml:space="preserve"/>
      </w:r>
    </w:p>
    <w:p>
      <w:pPr>
        <w:pStyle w:val="Heading2"/>
        <w:keepNext/>
        <w:keepLines/>
        <w:spacing w:after="90" w:before="220"/>
      </w:pPr>
      <w:bookmarkStart w:name="_RG0036" w:id="1"/>
      <w:r>
        <w:t xml:space="preserve">8.1  When counsel is engaged</w:t>
      </w:r>
      <w:bookmarkEnd w:id="1"/>
    </w:p>
    <w:p>
      <w:pPr>
        <w:spacing w:after="130" w:line="262"/>
      </w:pPr>
      <w:r>
        <w:t xml:space="preserve">The incident lead engages counsel, through the insurer's panel where the policy requires it, within one business day of confirming that an attacker had access to any mailbox. Engaging counsel early also allows the forensic work to be directed by counsel where the organization wants that, which counsel advises on.</w:t>
      </w:r>
    </w:p>
    <w:p>
      <w:pPr>
        <w:spacing w:after="130" w:line="262"/>
      </w:pPr>
      <w:r>
        <w:t xml:space="preserve">The Federal Trade Commission's data breach response guidance states that all states, the District of Columbia, Puerto Rico and the Virgin Islands have laws requiring notification of security breaches involving personal information, and that other federal and state laws may also apply. It specifically directs organizations to check whether they are covered by the HIPAA Breach Notification Rule, which requires notice to the Secretary of Health and Human Services, or by the FTC Health Breach Notification Rule. State laws differ on what counts as personal information, on deadlines and on whom to notify, and depend on where the affected individuals live rather than where the organization is.</w:t>
      </w:r>
    </w:p>
    <w:p>
      <w:pPr>
        <w:spacing w:after="60" w:line="120"/>
      </w:pPr>
      <w:r>
        <w:rPr>
          <w:sz w:val="4"/>
          <w:szCs w:val="4"/>
        </w:rPr>
        <w:t xml:space="preserve"/>
      </w:r>
    </w:p>
    <w:p>
      <w:pPr>
        <w:pStyle w:val="Heading2"/>
        <w:keepNext/>
        <w:keepLines/>
        <w:spacing w:after="90" w:before="220"/>
      </w:pPr>
      <w:bookmarkStart w:name="_RG0037" w:id="1"/>
      <w:r>
        <w:t xml:space="preserve">8.2  What the incident team provides to counsel</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288"/>
        <w:gridCol w:w="3313"/>
        <w:gridCol w:w="2145"/>
      </w:tblGrid>
      <w:tr>
        <w:trPr>
          <w:cantSplit/>
          <w:tblHeader/>
        </w:trPr>
        <w:tc>
          <w:tcPr>
            <w:tcW w:type="dxa" w:w="428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Input</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Source</w:t>
            </w:r>
          </w:p>
        </w:tc>
        <w:tc>
          <w:tcPr>
            <w:tcW w:type="dxa" w:w="214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r>
      <w:tr>
        <w:trPr>
          <w:cantSplit/>
        </w:trPr>
        <w:tc>
          <w:tcPr>
            <w:tcW w:type="dxa" w:w="4288"/>
            <w:shd w:fill="FFFFFF" w:color="auto" w:val="clear"/>
            <w:tcMar>
              <w:top w:type="dxa" w:w="70"/>
              <w:left w:type="dxa" w:w="100"/>
              <w:bottom w:type="dxa" w:w="70"/>
              <w:right w:type="dxa" w:w="100"/>
            </w:tcMar>
            <w:vAlign w:val="top"/>
          </w:tcPr>
          <w:p>
            <w:pPr>
              <w:spacing w:after="0" w:before="0" w:line="252"/>
            </w:pPr>
            <w:r>
              <w:rPr>
                <w:sz w:val="17"/>
                <w:szCs w:val="17"/>
              </w:rPr>
              <w:t xml:space="preserve">Compromise period, start and end</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Section 6.1</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4288"/>
            <w:shd w:fill="F2F4F6" w:color="auto" w:val="clear"/>
            <w:tcMar>
              <w:top w:type="dxa" w:w="70"/>
              <w:left w:type="dxa" w:w="100"/>
              <w:bottom w:type="dxa" w:w="70"/>
              <w:right w:type="dxa" w:w="100"/>
            </w:tcMar>
            <w:vAlign w:val="top"/>
          </w:tcPr>
          <w:p>
            <w:pPr>
              <w:spacing w:after="0" w:before="0" w:line="252"/>
            </w:pPr>
            <w:r>
              <w:rPr>
                <w:sz w:val="17"/>
                <w:szCs w:val="17"/>
              </w:rPr>
              <w:t xml:space="preserve">What was accessed, or a statement that the whole mailbox must be assumed accessed</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Section 6.2</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4288"/>
            <w:shd w:fill="FFFFFF" w:color="auto" w:val="clear"/>
            <w:tcMar>
              <w:top w:type="dxa" w:w="70"/>
              <w:left w:type="dxa" w:w="100"/>
              <w:bottom w:type="dxa" w:w="70"/>
              <w:right w:type="dxa" w:w="100"/>
            </w:tcMar>
            <w:vAlign w:val="top"/>
          </w:tcPr>
          <w:p>
            <w:pPr>
              <w:spacing w:after="0" w:before="0" w:line="252"/>
            </w:pPr>
            <w:r>
              <w:rPr>
                <w:sz w:val="17"/>
                <w:szCs w:val="17"/>
              </w:rPr>
              <w:t xml:space="preserve">Categories of personal information in the mailbox, with examples and approximate counts</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Search of the mailbox for the compromise period by the email administrator, reviewed by the data owner</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 and data owner</w:t>
            </w:r>
          </w:p>
        </w:tc>
      </w:tr>
      <w:tr>
        <w:trPr>
          <w:cantSplit/>
        </w:trPr>
        <w:tc>
          <w:tcPr>
            <w:tcW w:type="dxa" w:w="4288"/>
            <w:shd w:fill="F2F4F6" w:color="auto" w:val="clear"/>
            <w:tcMar>
              <w:top w:type="dxa" w:w="70"/>
              <w:left w:type="dxa" w:w="100"/>
              <w:bottom w:type="dxa" w:w="70"/>
              <w:right w:type="dxa" w:w="100"/>
            </w:tcMar>
            <w:vAlign w:val="top"/>
          </w:tcPr>
          <w:p>
            <w:pPr>
              <w:spacing w:after="0" w:before="0" w:line="252"/>
            </w:pPr>
            <w:r>
              <w:rPr>
                <w:sz w:val="17"/>
                <w:szCs w:val="17"/>
              </w:rPr>
              <w:t xml:space="preserve">States or countries of residence of the affected individuals, where known</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HR, customer and supplier records</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Data owner</w:t>
            </w:r>
          </w:p>
        </w:tc>
      </w:tr>
      <w:tr>
        <w:trPr>
          <w:cantSplit/>
        </w:trPr>
        <w:tc>
          <w:tcPr>
            <w:tcW w:type="dxa" w:w="4288"/>
            <w:shd w:fill="FFFFFF" w:color="auto" w:val="clear"/>
            <w:tcMar>
              <w:top w:type="dxa" w:w="70"/>
              <w:left w:type="dxa" w:w="100"/>
              <w:bottom w:type="dxa" w:w="70"/>
              <w:right w:type="dxa" w:w="100"/>
            </w:tcMar>
            <w:vAlign w:val="top"/>
          </w:tcPr>
          <w:p>
            <w:pPr>
              <w:spacing w:after="0" w:before="0" w:line="252"/>
            </w:pPr>
            <w:r>
              <w:rPr>
                <w:sz w:val="17"/>
                <w:szCs w:val="17"/>
              </w:rPr>
              <w:t xml:space="preserve">Whether any data was forwarded out by rule</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Appendix D rule and forwarding records</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4288"/>
            <w:shd w:fill="F2F4F6" w:color="auto" w:val="clear"/>
            <w:tcMar>
              <w:top w:type="dxa" w:w="70"/>
              <w:left w:type="dxa" w:w="100"/>
              <w:bottom w:type="dxa" w:w="70"/>
              <w:right w:type="dxa" w:w="100"/>
            </w:tcMar>
            <w:vAlign w:val="top"/>
          </w:tcPr>
          <w:p>
            <w:pPr>
              <w:spacing w:after="0" w:before="0" w:line="252"/>
            </w:pPr>
            <w:r>
              <w:rPr>
                <w:sz w:val="17"/>
                <w:szCs w:val="17"/>
              </w:rPr>
              <w:t xml:space="preserve">Contracts requiring notice to customers or partners</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Contract register</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Finance lead or contract owner</w:t>
            </w:r>
          </w:p>
        </w:tc>
      </w:tr>
    </w:tbl>
    <w:p>
      <w:pPr>
        <w:spacing w:after="120" w:line="120"/>
      </w:pPr>
      <w:r>
        <w:rPr>
          <w:sz w:val="4"/>
          <w:szCs w:val="4"/>
        </w:rPr>
        <w:t xml:space="preserve"/>
      </w:r>
    </w:p>
    <w:p>
      <w:pPr>
        <w:spacing w:after="130" w:line="262"/>
      </w:pPr>
      <w:r>
        <w:t xml:space="preserve">Counsel decides whether notification is required, to whom, and by when. The incident lead records the decision, the date it was made and the name of counsel in the incident log. Where notification is required, it follows the communications route in PLN-IR-001 and the content counsel approves.</w:t>
      </w:r>
    </w:p>
    <w:p>
      <w:pPr>
        <w:spacing w:after="60" w:line="120"/>
      </w:pPr>
      <w:r>
        <w:rPr>
          <w:sz w:val="4"/>
          <w:szCs w:val="4"/>
        </w:rPr>
        <w:t xml:space="preserve"/>
      </w:r>
    </w:p>
    <w:p>
      <w:pPr>
        <w:pStyle w:val="Heading1"/>
        <w:keepNext/>
        <w:keepLines/>
        <w:pBdr>
          <w:bottom w:val="single" w:color="D4DAE0" w:sz="4" w:space="4"/>
        </w:pBdr>
        <w:spacing w:after="140" w:before="300"/>
      </w:pPr>
      <w:bookmarkStart w:name="_RG0038" w:id="1"/>
      <w:r>
        <w:t xml:space="preserve">9.  Recovery and closure</w:t>
      </w:r>
      <w:bookmarkEnd w:id="1"/>
    </w:p>
    <w:p>
      <w:pPr>
        <w:spacing w:after="130" w:line="262"/>
      </w:pPr>
      <w:r>
        <w:t xml:space="preserve">The incident moves to recovery when the money track has an outcome from the bank and the account takeover track has confirmed containment for every affected account. Recovery is complete when the following hold, each recorded in the incident log:</w:t>
      </w:r>
    </w:p>
    <w:p>
      <w:pPr>
        <w:pStyle w:val="ListParagraph"/>
        <w:numPr>
          <w:ilvl w:val="0"/>
          <w:numId w:val="2"/>
        </w:numPr>
        <w:spacing w:after="60" w:line="262"/>
      </w:pPr>
      <w:r>
        <w:t xml:space="preserve">Every affected account has re-registered sign-in methods and has been returned to its user, with the user briefed.</w:t>
      </w:r>
    </w:p>
    <w:p>
      <w:pPr>
        <w:pStyle w:val="ListParagraph"/>
        <w:numPr>
          <w:ilvl w:val="0"/>
          <w:numId w:val="2"/>
        </w:numPr>
        <w:spacing w:after="60" w:line="262"/>
      </w:pPr>
      <w:r>
        <w:t xml:space="preserve">Every payment placed on hold in section 4.1 has been verified by phone on file and either released or cancelled.</w:t>
      </w:r>
    </w:p>
    <w:p>
      <w:pPr>
        <w:pStyle w:val="ListParagraph"/>
        <w:numPr>
          <w:ilvl w:val="0"/>
          <w:numId w:val="2"/>
        </w:numPr>
        <w:spacing w:after="60" w:line="262"/>
      </w:pPr>
      <w:r>
        <w:t xml:space="preserve">Every counterparty on the Appendix E list has been reached or has an escalation decision recorded.</w:t>
      </w:r>
    </w:p>
    <w:p>
      <w:pPr>
        <w:pStyle w:val="ListParagraph"/>
        <w:numPr>
          <w:ilvl w:val="0"/>
          <w:numId w:val="2"/>
        </w:numPr>
        <w:spacing w:after="60" w:line="262"/>
      </w:pPr>
      <w:r>
        <w:t xml:space="preserve">The bank recall has a recorded outcome, the IC3 complaint number is in the record, and the insurer claim is open or closed with a reason.</w:t>
      </w:r>
    </w:p>
    <w:p>
      <w:pPr>
        <w:pStyle w:val="ListParagraph"/>
        <w:numPr>
          <w:ilvl w:val="0"/>
          <w:numId w:val="2"/>
        </w:numPr>
        <w:spacing w:after="60" w:line="262"/>
      </w:pPr>
      <w:r>
        <w:t xml:space="preserve">The breach assessment decision is recorded.</w:t>
      </w:r>
    </w:p>
    <w:p>
      <w:pPr>
        <w:pStyle w:val="ListParagraph"/>
        <w:numPr>
          <w:ilvl w:val="0"/>
          <w:numId w:val="2"/>
        </w:numPr>
        <w:spacing w:after="60" w:line="262"/>
      </w:pPr>
      <w:r>
        <w:t xml:space="preserve">Any control found missing in sections 10 and 11 has a remediation owner and a date.</w:t>
      </w:r>
    </w:p>
    <w:p>
      <w:pPr>
        <w:spacing w:after="130" w:line="262"/>
      </w:pPr>
      <w:r>
        <w:t xml:space="preserve">The incident lead then closes the incident through the after-action record in PLN-IR-001, within ten business days of recovery. The after-action record states which control, had it operated, would have stopped the loss, and whether that control existed and failed or did not exist.</w:t>
      </w:r>
    </w:p>
    <w:p>
      <w:pPr>
        <w:spacing w:after="60" w:line="120"/>
      </w:pPr>
      <w:r>
        <w:rPr>
          <w:sz w:val="4"/>
          <w:szCs w:val="4"/>
        </w:rPr>
        <w:t xml:space="preserve"/>
      </w:r>
    </w:p>
    <w:p>
      <w:pPr>
        <w:pStyle w:val="Heading1"/>
        <w:keepNext/>
        <w:keepLines/>
        <w:pBdr>
          <w:bottom w:val="single" w:color="D4DAE0" w:sz="4" w:space="4"/>
        </w:pBdr>
        <w:spacing w:after="140" w:before="300"/>
      </w:pPr>
      <w:bookmarkStart w:name="_RG0039" w:id="1"/>
      <w:r>
        <w:t xml:space="preserve">10.  Payment control hardening</w:t>
      </w:r>
      <w:bookmarkEnd w:id="1"/>
    </w:p>
    <w:p>
      <w:pPr>
        <w:spacing w:after="130" w:line="262"/>
      </w:pPr>
      <w:r>
        <w:t xml:space="preserve">Business email compromise succeeds because a payment process trusts an email. The controls in this section remove that trust. They apply to every payment the organization initiates and to every change of bank details for a supplier, customer refund, employee or other payee. Appendix G gives guidance on adopting them.</w:t>
      </w:r>
    </w:p>
    <w:p>
      <w:pPr>
        <w:spacing w:after="60" w:line="120"/>
      </w:pPr>
      <w:r>
        <w:rPr>
          <w:sz w:val="4"/>
          <w:szCs w:val="4"/>
        </w:rPr>
        <w:t xml:space="preserve"/>
      </w:r>
    </w:p>
    <w:p>
      <w:pPr>
        <w:pStyle w:val="Heading2"/>
        <w:keepNext/>
        <w:keepLines/>
        <w:spacing w:after="90" w:before="220"/>
      </w:pPr>
      <w:bookmarkStart w:name="_RG0040" w:id="1"/>
      <w:r>
        <w:t xml:space="preserve">10.1  Out-of-band verification of bank detail changes</w:t>
      </w:r>
      <w:bookmarkEnd w:id="1"/>
    </w:p>
    <w:p>
      <w:pPr>
        <w:spacing w:after="130" w:line="262"/>
      </w:pPr>
      <w:r>
        <w:t xml:space="preserve">No change to payee bank details is entered into the accounts payable, payroll or banking system until it has been verified by a phone call to the payee, made by the organization, to a number held on file before the change request arrived. The verification is recorded before the change is made.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360"/>
        <w:gridCol w:w="1559"/>
        <w:gridCol w:w="2340"/>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36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Receive the change request by any channel and record it as received, without acting on it.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Accounts payable or payroll</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Change request record</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Look up the payee's phone number from the vendor master, contract or a previous verified record. Do not use any number, email or link in the request.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Accounts payable or payroll</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Number source recorded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Call the payee. Confirm the request was made, by whom, and read back the new details for the payee to confirm. Ask the payee to confirm the old details as a further check.</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Accounts payable or payroll</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Verification record: number called, person, time, result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A second person, not the one who made the call, reviews the verification record and enters the change.</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Finance supervisor</w:t>
            </w:r>
          </w:p>
        </w:tc>
        <w:tc>
          <w:tcPr>
            <w:tcW w:type="dxa" w:w="2340"/>
            <w:shd w:fill="F2F4F6" w:color="auto" w:val="clear"/>
            <w:tcMar>
              <w:top w:type="dxa" w:w="70"/>
              <w:left w:type="dxa" w:w="100"/>
              <w:bottom w:type="dxa" w:w="70"/>
              <w:right w:type="dxa" w:w="100"/>
            </w:tcMar>
            <w:vAlign w:val="top"/>
          </w:tcPr>
          <w:p>
            <w:pPr>
              <w:spacing w:after="0" w:before="0" w:line="252"/>
            </w:pPr>
            <w:r>
              <w:rPr>
                <w:sz w:val="17"/>
                <w:szCs w:val="17"/>
              </w:rPr>
              <w:t xml:space="preserve">System change log showing a different user from the verifier</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Send a confirmation of the change to the payee's previously known contact address, not the address that requested it.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Accounts payable</w:t>
            </w:r>
          </w:p>
        </w:tc>
        <w:tc>
          <w:tcPr>
            <w:tcW w:type="dxa" w:w="2340"/>
            <w:shd w:fill="FFFFFF" w:color="auto" w:val="clear"/>
            <w:tcMar>
              <w:top w:type="dxa" w:w="70"/>
              <w:left w:type="dxa" w:w="100"/>
              <w:bottom w:type="dxa" w:w="70"/>
              <w:right w:type="dxa" w:w="100"/>
            </w:tcMar>
            <w:vAlign w:val="top"/>
          </w:tcPr>
          <w:p>
            <w:pPr>
              <w:spacing w:after="0" w:before="0" w:line="252"/>
            </w:pPr>
            <w:r>
              <w:rPr>
                <w:sz w:val="17"/>
                <w:szCs w:val="17"/>
              </w:rPr>
              <w:t xml:space="preserve">Copy of confirmation</w:t>
            </w:r>
          </w:p>
        </w:tc>
      </w:tr>
    </w:tbl>
    <w:p>
      <w:pPr>
        <w:spacing w:after="120" w:line="120"/>
      </w:pPr>
      <w:r>
        <w:rPr>
          <w:sz w:val="4"/>
          <w:szCs w:val="4"/>
        </w:rPr>
        <w:t xml:space="preserve"/>
      </w:r>
    </w:p>
    <w:p>
      <w:pPr>
        <w:spacing w:after="130" w:line="262"/>
      </w:pPr>
      <w:r>
        <w:t xml:space="preserve">Employee direct deposit changes are verified with the employee in person, or on a video call where the employee is known to the verifier, or by a call to the employee's phone number in the HR system recorded before the request. A change made through a self-service portal generates a notice to the employee's previous contact details and is held for the cooling-off period in 10.3.</w:t>
      </w:r>
    </w:p>
    <w:p>
      <w:pPr>
        <w:spacing w:after="60" w:line="120"/>
      </w:pPr>
      <w:r>
        <w:rPr>
          <w:sz w:val="4"/>
          <w:szCs w:val="4"/>
        </w:rPr>
        <w:t xml:space="preserve"/>
      </w:r>
    </w:p>
    <w:p>
      <w:pPr>
        <w:pStyle w:val="Heading2"/>
        <w:keepNext/>
        <w:keepLines/>
        <w:spacing w:after="90" w:before="220"/>
      </w:pPr>
      <w:bookmarkStart w:name="_RG0041" w:id="1"/>
      <w:r>
        <w:t xml:space="preserve">10.2  Dual approval</w:t>
      </w:r>
      <w:bookmarkEnd w:id="1"/>
    </w:p>
    <w:p>
      <w:pPr>
        <w:spacing w:after="130" w:line="262"/>
      </w:pPr>
      <w:r>
        <w:t xml:space="preserve">Every payment to a new payee, every payment to changed bank details, and every payment of USD 10,000 or more requires release by two authorized people, one of whom did not prepare the payment. The organization sets its own threshold and records it in its delegation of authority; USD 10,000 applies until it does. Dual approval is configured in the banking platform where the platform supports it, so that a single user cannot release a payment, rather than relying on a manual sign-off that a single user can bypass.</w:t>
      </w:r>
    </w:p>
    <w:p>
      <w:pPr>
        <w:spacing w:after="130" w:line="262"/>
      </w:pPr>
      <w:r>
        <w:t xml:space="preserve">No payment is released on an executive's instruction received only by email or message. Requests from executives for urgent or confidential payments are confirmed with the executive by phone or in person, and follow the same approval route as any other payment.</w:t>
      </w:r>
    </w:p>
    <w:p>
      <w:pPr>
        <w:spacing w:after="60" w:line="120"/>
      </w:pPr>
      <w:r>
        <w:rPr>
          <w:sz w:val="4"/>
          <w:szCs w:val="4"/>
        </w:rPr>
        <w:t xml:space="preserve"/>
      </w:r>
    </w:p>
    <w:p>
      <w:pPr>
        <w:pStyle w:val="Heading2"/>
        <w:keepNext/>
        <w:keepLines/>
        <w:spacing w:after="90" w:before="220"/>
      </w:pPr>
      <w:bookmarkStart w:name="_RG0042" w:id="1"/>
      <w:r>
        <w:t xml:space="preserve">10.3  Cooling-off period for new and changed payees</w:t>
      </w:r>
      <w:bookmarkEnd w:id="1"/>
    </w:p>
    <w:p>
      <w:pPr>
        <w:spacing w:after="130" w:line="262"/>
      </w:pPr>
      <w:r>
        <w:t xml:space="preserve">The first payment to a new payee, or to changed bank details, is released no earlier than two business days after the verification in 10.1 is recorded. The finance lead may approve an exception in writing where a payment is time-critical, and only after a second verification call by a different person. Exceptions are recorded and reviewed monthly.</w:t>
      </w:r>
    </w:p>
    <w:p>
      <w:pPr>
        <w:spacing w:after="130" w:line="262"/>
      </w:pPr>
      <w:r>
        <w:t xml:space="preserve">The cooling-off period exists because the genuine payee will usually notice within two business days that they were asked about a change they did not make, or that an expected payment did not arrive, and because many fraudulent changes are pressed with urgency that does not survive a delay.</w:t>
      </w:r>
    </w:p>
    <w:p>
      <w:pPr>
        <w:spacing w:after="60" w:line="120"/>
      </w:pPr>
      <w:r>
        <w:rPr>
          <w:sz w:val="4"/>
          <w:szCs w:val="4"/>
        </w:rPr>
        <w:t xml:space="preserve"/>
      </w:r>
    </w:p>
    <w:p>
      <w:pPr>
        <w:pStyle w:val="Heading2"/>
        <w:keepNext/>
        <w:keepLines/>
        <w:spacing w:after="90" w:before="220"/>
      </w:pPr>
      <w:bookmarkStart w:name="_RG0043" w:id="1"/>
      <w:r>
        <w:t xml:space="preserve">10.4  Other payment controls</w:t>
      </w:r>
      <w:bookmarkEnd w:id="1"/>
    </w:p>
    <w:p>
      <w:pPr>
        <w:pStyle w:val="ListParagraph"/>
        <w:numPr>
          <w:ilvl w:val="0"/>
          <w:numId w:val="2"/>
        </w:numPr>
        <w:spacing w:after="60" w:line="262"/>
      </w:pPr>
      <w:r>
        <w:t xml:space="preserve">Gift cards are not purchased on any instruction received by email or message.</w:t>
      </w:r>
    </w:p>
    <w:p>
      <w:pPr>
        <w:pStyle w:val="ListParagraph"/>
        <w:numPr>
          <w:ilvl w:val="0"/>
          <w:numId w:val="2"/>
        </w:numPr>
        <w:spacing w:after="60" w:line="262"/>
      </w:pPr>
      <w:r>
        <w:t xml:space="preserve">The bank is asked whether it offers payee name checking, positive pay for checks, or callback confirmation for wires, and those available are enabled.</w:t>
      </w:r>
    </w:p>
    <w:p>
      <w:pPr>
        <w:pStyle w:val="ListParagraph"/>
        <w:numPr>
          <w:ilvl w:val="0"/>
          <w:numId w:val="2"/>
        </w:numPr>
        <w:spacing w:after="60" w:line="262"/>
      </w:pPr>
      <w:r>
        <w:t xml:space="preserve">Banking platform users have individual credentials and multi-factor authentication; shared banking logins are not permitted.</w:t>
      </w:r>
    </w:p>
    <w:p>
      <w:pPr>
        <w:pStyle w:val="ListParagraph"/>
        <w:numPr>
          <w:ilvl w:val="0"/>
          <w:numId w:val="2"/>
        </w:numPr>
        <w:spacing w:after="60" w:line="262"/>
      </w:pPr>
      <w:r>
        <w:t xml:space="preserve">Staff who can create payees or release payments complete awareness training on this incident type when they take on the role and not less than annually, covering the signals in section 3.1.</w:t>
      </w:r>
    </w:p>
    <w:p>
      <w:pPr>
        <w:pStyle w:val="ListParagraph"/>
        <w:numPr>
          <w:ilvl w:val="0"/>
          <w:numId w:val="2"/>
        </w:numPr>
        <w:spacing w:after="60" w:line="262"/>
      </w:pPr>
      <w:r>
        <w:t xml:space="preserve">Supplier onboarding records a verified phone number at the start of the relationship, so that a number on file exists before any change is requested.</w:t>
      </w:r>
    </w:p>
    <w:p>
      <w:pPr>
        <w:spacing w:after="60" w:line="120"/>
      </w:pPr>
      <w:r>
        <w:rPr>
          <w:sz w:val="4"/>
          <w:szCs w:val="4"/>
        </w:rPr>
        <w:t xml:space="preserve"/>
      </w:r>
    </w:p>
    <w:p>
      <w:pPr>
        <w:pStyle w:val="Heading1"/>
        <w:keepNext/>
        <w:keepLines/>
        <w:pBdr>
          <w:bottom w:val="single" w:color="D4DAE0" w:sz="4" w:space="4"/>
        </w:pBdr>
        <w:spacing w:after="140" w:before="300"/>
      </w:pPr>
      <w:bookmarkStart w:name="_RG0044" w:id="1"/>
      <w:r>
        <w:t xml:space="preserve">11.  Email authentication and domain protection</w:t>
      </w:r>
      <w:bookmarkEnd w:id="1"/>
    </w:p>
    <w:p>
      <w:pPr>
        <w:spacing w:after="130" w:line="262"/>
      </w:pPr>
      <w:r>
        <w:t xml:space="preserve">These controls make it harder for an attacker to send mail that appears to come from the organization's domain, and easier for the organization and its counterparties to see when someone tries.</w:t>
      </w:r>
    </w:p>
    <w:p>
      <w:pPr>
        <w:spacing w:after="60" w:line="120"/>
      </w:pPr>
      <w:r>
        <w:rPr>
          <w:sz w:val="4"/>
          <w:szCs w:val="4"/>
        </w:rPr>
        <w:t xml:space="preserve"/>
      </w:r>
    </w:p>
    <w:p>
      <w:pPr>
        <w:pStyle w:val="Heading2"/>
        <w:keepNext/>
        <w:keepLines/>
        <w:spacing w:after="90" w:before="220"/>
      </w:pPr>
      <w:bookmarkStart w:name="_RG0045" w:id="1"/>
      <w:r>
        <w:t xml:space="preserve">11.1  SPF, DKIM and DMARC</w:t>
      </w:r>
      <w:bookmarkEnd w:id="1"/>
    </w:p>
    <w:p>
      <w:pPr>
        <w:keepNext/>
        <w:keepLines/>
        <w:pBdr>
          <w:top w:val="single" w:color="D4DAE0" w:sz="4" w:space="9"/>
        </w:pBdr>
        <w:spacing w:after="46" w:before="110"/>
      </w:pPr>
      <w:r>
        <w:rPr>
          <w:b/>
          <w:bCs/>
          <w:color w:val="2E5C7A"/>
          <w:sz w:val="21"/>
          <w:szCs w:val="21"/>
        </w:rPr>
        <w:t xml:space="preserve">SPF</w:t>
      </w:r>
    </w:p>
    <w:p>
      <w:pPr>
        <w:spacing w:after="62" w:line="262"/>
        <w:ind w:left="172"/>
      </w:pPr>
      <w:r>
        <w:t xml:space="preserve">A DNS record on each sending domain listing the servers and services authorized to send mail for it. The record lists every legitimate sender, including the email platform, marketing and billing services, and ends with a policy that fails other senders.</w:t>
      </w:r>
    </w:p>
    <w:p>
      <w:pPr>
        <w:keepNext/>
        <w:keepLines/>
        <w:pBdr>
          <w:top w:val="single" w:color="D4DAE0" w:sz="4" w:space="9"/>
        </w:pBdr>
        <w:spacing w:after="46" w:before="170"/>
      </w:pPr>
      <w:r>
        <w:rPr>
          <w:b/>
          <w:bCs/>
          <w:color w:val="2E5C7A"/>
          <w:sz w:val="21"/>
          <w:szCs w:val="21"/>
        </w:rPr>
        <w:t xml:space="preserve">DKIM</w:t>
      </w:r>
    </w:p>
    <w:p>
      <w:pPr>
        <w:spacing w:after="62" w:line="262"/>
        <w:ind w:left="172"/>
      </w:pPr>
      <w:r>
        <w:t xml:space="preserve">A cryptographic signature added to outgoing mail by each sending service, with the public key published in DNS. DKIM signing is enabled on the email platform and on every third-party service that sends as the domain.</w:t>
      </w:r>
    </w:p>
    <w:p>
      <w:pPr>
        <w:keepNext/>
        <w:keepLines/>
        <w:pBdr>
          <w:top w:val="single" w:color="D4DAE0" w:sz="4" w:space="9"/>
        </w:pBdr>
        <w:spacing w:after="46" w:before="170"/>
      </w:pPr>
      <w:r>
        <w:rPr>
          <w:b/>
          <w:bCs/>
          <w:color w:val="2E5C7A"/>
          <w:sz w:val="21"/>
          <w:szCs w:val="21"/>
        </w:rPr>
        <w:t xml:space="preserve">DMARC</w:t>
      </w:r>
    </w:p>
    <w:p>
      <w:pPr>
        <w:spacing w:after="62" w:line="262"/>
        <w:ind w:left="172"/>
      </w:pPr>
      <w:r>
        <w:t xml:space="preserve">A DNS record that tells receiving servers what to do with mail claiming to be from the domain that fails authentication, and where to send reports. DMARC passes only when the domain in the visible From address aligns with a domain authenticated by SPF or DKIM. The current specification is RFC 9989, published in May 2026, which obsoletes RFC 7489. Policy values are none, quarantine and reject.</w:t>
      </w:r>
    </w:p>
    <w:p>
      <w:pPr>
        <w:spacing w:after="130" w:line="262"/>
      </w:pPr>
      <w:r>
        <w:t xml:space="preserve">The organization publishes DMARC on every domain it owns, including domains that send no mail. Domains that send no mail publish a reject policy and an SPF record that authorizes no senders. Sending domains move to enforcement in the following order, with each step held until aggregate reports show no legitimate mail failing: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559"/>
        <w:gridCol w:w="2339"/>
        <w:gridCol w:w="4093"/>
        <w:gridCol w:w="1755"/>
      </w:tblGrid>
      <w:tr>
        <w:trPr>
          <w:cantSplit/>
          <w:tblHeader/>
        </w:trPr>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Stage</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Policy</w:t>
            </w:r>
          </w:p>
        </w:tc>
        <w:tc>
          <w:tcPr>
            <w:tcW w:type="dxa" w:w="409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Exit criterion</w:t>
            </w:r>
          </w:p>
        </w:tc>
        <w:tc>
          <w:tcPr>
            <w:tcW w:type="dxa" w:w="175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r>
      <w:tr>
        <w:trPr>
          <w:cantSplit/>
        </w:trPr>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Monitor</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p=none with aggregate reporting</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Every legitimate sending source identified in reports and authenticating with aligned SPF or DKIM</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Quarantine</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p=quarantine</w:t>
            </w:r>
          </w:p>
        </w:tc>
        <w:tc>
          <w:tcPr>
            <w:tcW w:type="dxa" w:w="4093"/>
            <w:shd w:fill="F2F4F6" w:color="auto" w:val="clear"/>
            <w:tcMar>
              <w:top w:type="dxa" w:w="70"/>
              <w:left w:type="dxa" w:w="100"/>
              <w:bottom w:type="dxa" w:w="70"/>
              <w:right w:type="dxa" w:w="100"/>
            </w:tcMar>
            <w:vAlign w:val="top"/>
          </w:tcPr>
          <w:p>
            <w:pPr>
              <w:spacing w:after="0" w:before="0" w:line="252"/>
            </w:pPr>
            <w:r>
              <w:rPr>
                <w:sz w:val="17"/>
                <w:szCs w:val="17"/>
              </w:rPr>
              <w:t xml:space="preserve">No legitimate mail failing for 30 consecutive days</w:t>
            </w:r>
          </w:p>
        </w:tc>
        <w:tc>
          <w:tcPr>
            <w:tcW w:type="dxa" w:w="1755"/>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r>
        <w:trPr>
          <w:cantSplit/>
        </w:trPr>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Reject</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p=reject</w:t>
            </w:r>
          </w:p>
        </w:tc>
        <w:tc>
          <w:tcPr>
            <w:tcW w:type="dxa" w:w="4093"/>
            <w:shd w:fill="FFFFFF" w:color="auto" w:val="clear"/>
            <w:tcMar>
              <w:top w:type="dxa" w:w="70"/>
              <w:left w:type="dxa" w:w="100"/>
              <w:bottom w:type="dxa" w:w="70"/>
              <w:right w:type="dxa" w:w="100"/>
            </w:tcMar>
            <w:vAlign w:val="top"/>
          </w:tcPr>
          <w:p>
            <w:pPr>
              <w:spacing w:after="0" w:before="0" w:line="252"/>
            </w:pPr>
            <w:r>
              <w:rPr>
                <w:sz w:val="17"/>
                <w:szCs w:val="17"/>
              </w:rPr>
              <w:t xml:space="preserve">Held permanently; reviewed when a new sending service is added</w:t>
            </w:r>
          </w:p>
        </w:tc>
        <w:tc>
          <w:tcPr>
            <w:tcW w:type="dxa" w:w="1755"/>
            <w:shd w:fill="FFFFFF" w:color="auto" w:val="clear"/>
            <w:tcMar>
              <w:top w:type="dxa" w:w="70"/>
              <w:left w:type="dxa" w:w="100"/>
              <w:bottom w:type="dxa" w:w="70"/>
              <w:right w:type="dxa" w:w="100"/>
            </w:tcMar>
            <w:vAlign w:val="top"/>
          </w:tcPr>
          <w:p>
            <w:pPr>
              <w:spacing w:after="0" w:before="0" w:line="252"/>
            </w:pPr>
            <w:r>
              <w:rPr>
                <w:sz w:val="17"/>
                <w:szCs w:val="17"/>
              </w:rPr>
              <w:t xml:space="preserve">Email administrator</w:t>
            </w:r>
          </w:p>
        </w:tc>
      </w:tr>
    </w:tbl>
    <w:p>
      <w:pPr>
        <w:spacing w:after="120" w:line="120"/>
      </w:pPr>
      <w:r>
        <w:rPr>
          <w:sz w:val="4"/>
          <w:szCs w:val="4"/>
        </w:rPr>
        <w:t xml:space="preserve"/>
      </w:r>
    </w:p>
    <w:p>
      <w:pPr>
        <w:spacing w:after="130" w:line="262"/>
      </w:pPr>
      <w:r>
        <w:t xml:space="preserve">A domain is not left at p=none beyond 90 days without a recorded reason and a date to move. A policy of none produces reports but gives no protection against spoofing of the exact domain. DMARC does not protect against lookalike domains, which is why 11.2 exists.</w:t>
      </w:r>
    </w:p>
    <w:p>
      <w:pPr>
        <w:spacing w:after="60" w:line="120"/>
      </w:pPr>
      <w:r>
        <w:rPr>
          <w:sz w:val="4"/>
          <w:szCs w:val="4"/>
        </w:rPr>
        <w:t xml:space="preserve"/>
      </w:r>
    </w:p>
    <w:p>
      <w:pPr>
        <w:pStyle w:val="Heading2"/>
        <w:keepNext/>
        <w:keepLines/>
        <w:spacing w:after="90" w:before="220"/>
      </w:pPr>
      <w:bookmarkStart w:name="_RG0046" w:id="1"/>
      <w:r>
        <w:t xml:space="preserve">11.2  Lookalike domain monitoring</w:t>
      </w:r>
      <w:bookmarkEnd w:id="1"/>
    </w:p>
    <w:p>
      <w:pPr>
        <w:spacing w:after="130" w:line="262"/>
      </w:pPr>
      <w:r>
        <w:t xml:space="preserve">The email administrator checks, not less than monthly, for newly registered domains that resemble the organization's domains: character substitutions, added or removed letters, hyphenation, and different top-level domains. Free certificate transparency searches and domain monitoring features of the email or DNS provider may be used; no specific service is required. Each match is recorded with the date found and the action taken: blocked inbound, reported to the registrar, or assessed as unrelated.</w:t>
      </w:r>
    </w:p>
    <w:p>
      <w:pPr>
        <w:spacing w:after="130" w:line="262"/>
      </w:pPr>
      <w:r>
        <w:t xml:space="preserve">The organization registers the most obvious variants of its primary domain where cost allows, and configures the email platform to flag inbound mail from outside the organization, including a visible external sender tag, so that a lookalike reply in a thread is visible to the reader.</w:t>
      </w:r>
    </w:p>
    <w:p>
      <w:pPr>
        <w:spacing w:after="60" w:line="120"/>
      </w:pPr>
      <w:r>
        <w:rPr>
          <w:sz w:val="4"/>
          <w:szCs w:val="4"/>
        </w:rPr>
        <w:t xml:space="preserve"/>
      </w:r>
    </w:p>
    <w:p>
      <w:pPr>
        <w:pStyle w:val="Heading2"/>
        <w:keepNext/>
        <w:keepLines/>
        <w:spacing w:after="90" w:before="220"/>
      </w:pPr>
      <w:bookmarkStart w:name="_RG0047" w:id="1"/>
      <w:r>
        <w:t xml:space="preserve">11.3  Mail platform settings</w:t>
      </w:r>
      <w:bookmarkEnd w:id="1"/>
    </w:p>
    <w:p>
      <w:pPr>
        <w:pStyle w:val="ListParagraph"/>
        <w:numPr>
          <w:ilvl w:val="0"/>
          <w:numId w:val="2"/>
        </w:numPr>
        <w:spacing w:after="60" w:line="262"/>
      </w:pPr>
      <w:r>
        <w:t xml:space="preserve">Automatic forwarding to external addresses is disabled by default. In Microsoft 365, the outbound spam policy setting is configured explicitly as Off, rather than left at the system-controlled default, whose behavior Microsoft notes differs by organization. In Google Workspace, the Automatic forwarding setting under Gmail end user access is cleared. Exceptions are approved by the incident lead and recorded.</w:t>
      </w:r>
    </w:p>
    <w:p>
      <w:pPr>
        <w:pStyle w:val="ListParagraph"/>
        <w:numPr>
          <w:ilvl w:val="0"/>
          <w:numId w:val="2"/>
        </w:numPr>
        <w:spacing w:after="60" w:line="262"/>
      </w:pPr>
      <w:r>
        <w:t xml:space="preserve">Unified audit logging and mailbox auditing are confirmed on, as described in 5.4, at each quarterly review.</w:t>
      </w:r>
    </w:p>
    <w:p>
      <w:pPr>
        <w:pStyle w:val="ListParagraph"/>
        <w:numPr>
          <w:ilvl w:val="0"/>
          <w:numId w:val="2"/>
        </w:numPr>
        <w:spacing w:after="60" w:line="262"/>
      </w:pPr>
      <w:r>
        <w:t xml:space="preserve">Users cannot consent to third-party applications that request mail access without administrator approval.</w:t>
      </w:r>
    </w:p>
    <w:p>
      <w:pPr>
        <w:pStyle w:val="ListParagraph"/>
        <w:numPr>
          <w:ilvl w:val="0"/>
          <w:numId w:val="2"/>
        </w:numPr>
        <w:spacing w:after="60" w:line="262"/>
      </w:pPr>
      <w:r>
        <w:t xml:space="preserve">Multi-factor authentication is required for every mailbox, with phishing-resistant methods for finance, payroll, executive and administrator accounts where the platform supports them.</w:t>
      </w:r>
    </w:p>
    <w:p>
      <w:pPr>
        <w:pStyle w:val="ListParagraph"/>
        <w:numPr>
          <w:ilvl w:val="0"/>
          <w:numId w:val="2"/>
        </w:numPr>
        <w:spacing w:after="60" w:line="262"/>
      </w:pPr>
      <w:r>
        <w:t xml:space="preserve">Legacy authentication protocols that cannot perform multi-factor authentication are blocked.</w:t>
      </w:r>
    </w:p>
    <w:p>
      <w:pPr>
        <w:pStyle w:val="ListParagraph"/>
        <w:numPr>
          <w:ilvl w:val="0"/>
          <w:numId w:val="2"/>
        </w:numPr>
        <w:spacing w:after="60" w:line="262"/>
      </w:pPr>
      <w:r>
        <w:t xml:space="preserve">Sign-in and audit logs are exported to storage with not less than 180 days of retention where the license tier retains less.</w:t>
      </w:r>
    </w:p>
    <w:p>
      <w:pPr>
        <w:spacing w:after="60" w:line="120"/>
      </w:pPr>
      <w:r>
        <w:rPr>
          <w:sz w:val="4"/>
          <w:szCs w:val="4"/>
        </w:rPr>
        <w:t xml:space="preserve"/>
      </w:r>
    </w:p>
    <w:p>
      <w:pPr>
        <w:pStyle w:val="Heading1"/>
        <w:keepNext/>
        <w:keepLines/>
        <w:pBdr>
          <w:bottom w:val="single" w:color="D4DAE0" w:sz="4" w:space="4"/>
        </w:pBdr>
        <w:spacing w:after="140" w:before="300"/>
      </w:pPr>
      <w:bookmarkStart w:name="_RG0048" w:id="1"/>
      <w:r>
        <w:t xml:space="preserve">12.  Roles and responsibilities</w:t>
      </w:r>
      <w:bookmarkEnd w:id="1"/>
    </w:p>
    <w:p>
      <w:pPr>
        <w:spacing w:after="130" w:line="262"/>
      </w:pPr>
      <w:r>
        <w:t xml:space="preserve">Roles are assigned by name in the PLN-IR-001 contact list. Each role has a named deputy. One person may hold more than one role in a small organization, except that the person who verifies a bank detail change and the person who enters it are always different.</w:t>
      </w:r>
    </w:p>
    <w:p>
      <w:pPr>
        <w:keepNext/>
        <w:keepLines/>
        <w:pBdr>
          <w:top w:val="single" w:color="D4DAE0" w:sz="4" w:space="9"/>
        </w:pBdr>
        <w:spacing w:after="46" w:before="110"/>
      </w:pPr>
      <w:r>
        <w:rPr>
          <w:b/>
          <w:bCs/>
          <w:color w:val="2E5C7A"/>
          <w:sz w:val="21"/>
          <w:szCs w:val="21"/>
        </w:rPr>
        <w:t xml:space="preserve">Incident lead</w:t>
      </w:r>
    </w:p>
    <w:p>
      <w:pPr>
        <w:spacing w:after="62" w:line="262"/>
        <w:ind w:left="172"/>
      </w:pPr>
      <w:r>
        <w:t xml:space="preserve">Declares the incident under PLN-IR-001, decides the track, runs the account takeover track, approves warnings to third parties, engages counsel and closes the incident through the after-action record.</w:t>
      </w:r>
    </w:p>
    <w:p>
      <w:pPr>
        <w:keepNext/>
        <w:keepLines/>
        <w:pBdr>
          <w:top w:val="single" w:color="D4DAE0" w:sz="4" w:space="9"/>
        </w:pBdr>
        <w:spacing w:after="46" w:before="170"/>
      </w:pPr>
      <w:r>
        <w:rPr>
          <w:b/>
          <w:bCs/>
          <w:color w:val="2E5C7A"/>
          <w:sz w:val="21"/>
          <w:szCs w:val="21"/>
        </w:rPr>
        <w:t xml:space="preserve">Finance lead</w:t>
      </w:r>
    </w:p>
    <w:p>
      <w:pPr>
        <w:spacing w:after="62" w:line="262"/>
        <w:ind w:left="172"/>
      </w:pPr>
      <w:r>
        <w:t xml:space="preserve">Owns the payment fraud track: holds payments, calls the bank, files with IC3, completes Appendix C, verifies held payments and leads calls to counterparties about payments. Owns the payment controls in section 10.</w:t>
      </w:r>
    </w:p>
    <w:p>
      <w:pPr>
        <w:keepNext/>
        <w:keepLines/>
        <w:pBdr>
          <w:top w:val="single" w:color="D4DAE0" w:sz="4" w:space="9"/>
        </w:pBdr>
        <w:spacing w:after="46" w:before="170"/>
      </w:pPr>
      <w:r>
        <w:rPr>
          <w:b/>
          <w:bCs/>
          <w:color w:val="2E5C7A"/>
          <w:sz w:val="21"/>
          <w:szCs w:val="21"/>
        </w:rPr>
        <w:t xml:space="preserve">Email administrator</w:t>
      </w:r>
    </w:p>
    <w:p>
      <w:pPr>
        <w:spacing w:after="62" w:line="262"/>
        <w:ind w:left="172"/>
      </w:pPr>
      <w:r>
        <w:t xml:space="preserve">Exports logs, performs every containment step in section 5, carries out the scoping in section 6, completes Appendix D, and owns the email controls in section 11. Where an outside provider administers email, the contract names who performs these steps and within what time.</w:t>
      </w:r>
    </w:p>
    <w:p>
      <w:pPr>
        <w:keepNext/>
        <w:keepLines/>
        <w:pBdr>
          <w:top w:val="single" w:color="D4DAE0" w:sz="4" w:space="9"/>
        </w:pBdr>
        <w:spacing w:after="46" w:before="170"/>
      </w:pPr>
      <w:r>
        <w:rPr>
          <w:b/>
          <w:bCs/>
          <w:color w:val="2E5C7A"/>
          <w:sz w:val="21"/>
          <w:szCs w:val="21"/>
        </w:rPr>
        <w:t xml:space="preserve">Executive sponsor</w:t>
      </w:r>
    </w:p>
    <w:p>
      <w:pPr>
        <w:spacing w:after="62" w:line="262"/>
        <w:ind w:left="172"/>
      </w:pPr>
      <w:r>
        <w:t xml:space="preserve">Notifies the insurer, authorizes spending on outside firms, approves general notices to customers, and receives the bank outcome.</w:t>
      </w:r>
    </w:p>
    <w:p>
      <w:pPr>
        <w:keepNext/>
        <w:keepLines/>
        <w:pBdr>
          <w:top w:val="single" w:color="D4DAE0" w:sz="4" w:space="9"/>
        </w:pBdr>
        <w:spacing w:after="46" w:before="170"/>
      </w:pPr>
      <w:r>
        <w:rPr>
          <w:b/>
          <w:bCs/>
          <w:color w:val="2E5C7A"/>
          <w:sz w:val="21"/>
          <w:szCs w:val="21"/>
        </w:rPr>
        <w:t xml:space="preserve">Counsel</w:t>
      </w:r>
    </w:p>
    <w:p>
      <w:pPr>
        <w:spacing w:after="62" w:line="262"/>
        <w:ind w:left="172"/>
      </w:pPr>
      <w:r>
        <w:t xml:space="preserve">Advises on breach notification, on recovery from counterparties, and on whether forensic work is directed by counsel. Engaged through the insurer's panel where the policy requires it.</w:t>
      </w:r>
    </w:p>
    <w:p>
      <w:pPr>
        <w:keepNext/>
        <w:keepLines/>
        <w:pBdr>
          <w:top w:val="single" w:color="D4DAE0" w:sz="4" w:space="9"/>
        </w:pBdr>
        <w:spacing w:after="46" w:before="170"/>
      </w:pPr>
      <w:r>
        <w:rPr>
          <w:b/>
          <w:bCs/>
          <w:color w:val="2E5C7A"/>
          <w:sz w:val="21"/>
          <w:szCs w:val="21"/>
        </w:rPr>
        <w:t xml:space="preserve">Account holder</w:t>
      </w:r>
    </w:p>
    <w:p>
      <w:pPr>
        <w:spacing w:after="62" w:line="262"/>
        <w:ind w:left="172"/>
      </w:pPr>
      <w:r>
        <w:t xml:space="preserve">Reports signals immediately, describes what they did and saw, does not delete anything, and re-registers sign-in methods when instructed.</w:t>
      </w:r>
    </w:p>
    <w:p>
      <w:pPr>
        <w:keepNext/>
        <w:keepLines/>
        <w:pBdr>
          <w:top w:val="single" w:color="D4DAE0" w:sz="4" w:space="9"/>
        </w:pBdr>
        <w:spacing w:after="46" w:before="170"/>
      </w:pPr>
      <w:r>
        <w:rPr>
          <w:b/>
          <w:bCs/>
          <w:color w:val="2E5C7A"/>
          <w:sz w:val="21"/>
          <w:szCs w:val="21"/>
        </w:rPr>
        <w:t xml:space="preserve">All staff who can create payees or release payments</w:t>
      </w:r>
    </w:p>
    <w:p>
      <w:pPr>
        <w:spacing w:after="62" w:line="262"/>
        <w:ind w:left="172"/>
      </w:pPr>
      <w:r>
        <w:t xml:space="preserve">Follow section 10 without exception, report any change request or urgent payment request that deviates from it, and know where Appendix A is kept.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1754"/>
        <w:gridCol w:w="1754"/>
        <w:gridCol w:w="1754"/>
        <w:gridCol w:w="1951"/>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Activity</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Incident lead</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Finance lead</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Email admin</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Executive sponsor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Bank recall call</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Informed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Informed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IC3 complaint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Supports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Provides headers</w:t>
            </w: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Insurer notification</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Informed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Supports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Does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Account containment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Directs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Scoping</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Directs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Supports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Third-party warnings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Approves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Provides recipient list</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Approves general notice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Breach assessment</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Does, with counsel</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Supports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Supports</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Informed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After-action record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Does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Contributes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Contributes</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Receives</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9" w:id="1"/>
      <w:r>
        <w:t xml:space="preserve">13.  Exercise and review</w:t>
      </w:r>
      <w:bookmarkEnd w:id="1"/>
    </w:p>
    <w:p>
      <w:pPr>
        <w:spacing w:after="130" w:line="262"/>
      </w:pPr>
      <w:r>
        <w:t xml:space="preserve">The playbook is exercised not less than annually, alternating between the two tracks. The exercise is a tabletop of not less than 90 minutes with the incident lead, the finance lead, the email administrator and the executive sponsor, and tests, at a minimum:</w:t>
      </w:r>
    </w:p>
    <w:p>
      <w:pPr>
        <w:pStyle w:val="ListParagraph"/>
        <w:numPr>
          <w:ilvl w:val="0"/>
          <w:numId w:val="2"/>
        </w:numPr>
        <w:spacing w:after="60" w:line="262"/>
      </w:pPr>
      <w:r>
        <w:t xml:space="preserve">That the finance lead can find the bank's fraud line number and the information needed for Appendix C within ten minutes, without email.</w:t>
      </w:r>
    </w:p>
    <w:p>
      <w:pPr>
        <w:pStyle w:val="ListParagraph"/>
        <w:numPr>
          <w:ilvl w:val="0"/>
          <w:numId w:val="2"/>
        </w:numPr>
        <w:spacing w:after="60" w:line="262"/>
      </w:pPr>
      <w:r>
        <w:t xml:space="preserve">That the email administrator can export the sign-in log and audit log for a named account, and can list inbox rules, forwarding, delegates and application consents for it, in a live check against a test account.</w:t>
      </w:r>
    </w:p>
    <w:p>
      <w:pPr>
        <w:pStyle w:val="ListParagraph"/>
        <w:numPr>
          <w:ilvl w:val="0"/>
          <w:numId w:val="2"/>
        </w:numPr>
        <w:spacing w:after="60" w:line="262"/>
      </w:pPr>
      <w:r>
        <w:t xml:space="preserve">That the insurer's claims contact in the contact list is current.</w:t>
      </w:r>
    </w:p>
    <w:p>
      <w:pPr>
        <w:pStyle w:val="ListParagraph"/>
        <w:numPr>
          <w:ilvl w:val="0"/>
          <w:numId w:val="2"/>
        </w:numPr>
        <w:spacing w:after="60" w:line="262"/>
      </w:pPr>
      <w:r>
        <w:t xml:space="preserve">That a sample of five payees in the vendor master have a phone number on file recorded before their most recent bank detail change.</w:t>
      </w:r>
    </w:p>
    <w:p>
      <w:pPr>
        <w:spacing w:after="130" w:line="262"/>
      </w:pPr>
      <w:r>
        <w:t xml:space="preserve">The exercise produces a record of participants, scenario, findings and actions with owners. The playbook is reviewed after each exercise, after every real incident, and when the email platform, bank or insurer changes. Feature names and menu paths in section 5 are checked against vendor documentation at each review.</w:t>
      </w:r>
    </w:p>
    <w:p>
      <w:pPr>
        <w:spacing w:after="60" w:line="120"/>
      </w:pPr>
      <w:r>
        <w:rPr>
          <w:sz w:val="4"/>
          <w:szCs w:val="4"/>
        </w:rPr>
        <w:t xml:space="preserve"/>
      </w:r>
    </w:p>
    <w:p>
      <w:pPr>
        <w:pStyle w:val="Heading1"/>
        <w:keepNext/>
        <w:keepLines/>
        <w:pBdr>
          <w:bottom w:val="single" w:color="D4DAE0" w:sz="4" w:space="4"/>
        </w:pBdr>
        <w:spacing w:after="140" w:before="300"/>
      </w:pPr>
      <w:bookmarkStart w:name="_RG0050" w:id="1"/>
      <w:r>
        <w:t xml:space="preserve">14.  Evidence of operation</w:t>
      </w:r>
      <w:bookmarkEnd w:id="1"/>
    </w:p>
    <w:p>
      <w:pPr>
        <w:spacing w:after="130" w:line="262"/>
      </w:pPr>
      <w:r>
        <w:t xml:space="preserve">The table maps each requirement in this playbook to the record that demonstrates it operates, the population that record must cover, and how often it is produced. A record that covers a sample when the population column says all does not demonstrate the control.</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2728"/>
        <w:gridCol w:w="3118"/>
        <w:gridCol w:w="1561"/>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Artifact</w:t>
            </w:r>
          </w:p>
        </w:tc>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Population</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Frequency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Bank detail changes verified out of band (10.1)</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Verification records, matched to the system change log</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All payee bank detail changes in the period, vendor and payroll, reconciled against the system change log so that a change with no verification record is visible</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 review; quarterly evidence pack</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Verifier and enterer are different people (10.1)</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System change log with user IDs alongside verification record</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bank detail changes in the period</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Dual approval (10.2)</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Banking platform approval settings export and payment release log</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All payments to new or changed payees and all payments at or over the threshold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Cooling-off period (10.3)</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Exception register and payment dates against verification dates</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first payments to new or changed payees; all exceptions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No unexplained inbox rules or external forwarding (5.3, 11.3)</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Inbox rule and forwarding audit report</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All mailboxes, including shared mailboxes, not a sample</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Quarterly, and during every incident</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Automatic external forwarding blocked (11.3)</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Screenshot or export of the platform setting with date, and the exception list</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domains and all organizational units or policies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Audit logging enabled (5.4)</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Output of the audit status check with date</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The whole tenant or domain</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DMARC at enforcement (11.1)</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DNS lookup output of the DMARC record for each domain, with the date, and aggregate report summary</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domains the organization owns, including non-sending domains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Lookalike monitoring (11.2)</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Monitoring log of matches and actions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All primary domains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Application consent restricted (11.3)</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Export of the user consent setting and list of consented applications with mail permissions</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users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Playbook exercised (13)</w:t>
            </w:r>
          </w:p>
        </w:tc>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Exercise record with participants, findings and actions</w:t>
            </w:r>
          </w:p>
        </w:tc>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Each track at least once in two years; one exercise per year</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Annually</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Incidents handled per playbook (4 to 9)</w:t>
            </w:r>
          </w:p>
        </w:tc>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Incident log, Appendices C, D and E, and after-action record</w:t>
            </w:r>
          </w:p>
        </w:tc>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All business email compromise incidents and attempted frauds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Per incident</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1" w:id="1"/>
      <w:r>
        <w:t xml:space="preserve">15.  What this document cannot do</w:t>
      </w:r>
      <w:bookmarkEnd w:id="1"/>
    </w:p>
    <w:p>
      <w:pPr>
        <w:spacing w:after="130" w:line="262"/>
      </w:pPr>
      <w:r>
        <w:t xml:space="preserve">It cannot recover money. Recovery depends on the receiving bank, on how quickly the funds were moved onward, and on decisions made by banks and law enforcement outside the organization's control. The playbook makes the organization's part fast; it does not make the outcome certain.</w:t>
      </w:r>
    </w:p>
    <w:p>
      <w:pPr>
        <w:spacing w:after="130" w:line="262"/>
      </w:pPr>
      <w:r>
        <w:t xml:space="preserve">It cannot decide whether a breach must be notified. That turns on the facts, the data involved, the residence of the people affected and the law of each jurisdiction, and is decided with counsel.</w:t>
      </w:r>
    </w:p>
    <w:p>
      <w:pPr>
        <w:spacing w:after="130" w:line="262"/>
      </w:pPr>
      <w:r>
        <w:t xml:space="preserve">It cannot establish what an attacker read if the logs that would show it were never enabled or have expired. Where auditing was off or retention was short, the honest conclusion is that the whole mailbox must be treated as exposed, and the playbook directs that conclusion rather than a hopeful one.</w:t>
      </w:r>
    </w:p>
    <w:p>
      <w:pPr>
        <w:spacing w:after="130" w:line="262"/>
      </w:pPr>
      <w:r>
        <w:t xml:space="preserve">It cannot stop a counterparty's own compromised mailbox from sending convincing requests. Out-of-band verification is the control for that, and it works only if it is followed every time, including when the request appears to come from a trusted person in a hurry.</w:t>
      </w:r>
    </w:p>
    <w:p>
      <w:pPr>
        <w:spacing w:after="130" w:line="262"/>
      </w:pPr>
      <w:r>
        <w:t xml:space="preserve">It cannot keep platform instructions current. Menu paths, feature names, license tiers and log retention periods change. The examples in section 5 were checked when this document was written and must be rechecked at each review.</w:t>
      </w:r>
    </w:p>
    <w:p>
      <w:pPr>
        <w:spacing w:after="130" w:line="262"/>
      </w:pPr>
      <w:r>
        <w:t xml:space="preserve">It does not replace PLN-IR-001, insurance, legal advice or a forensic investigation where the scale of the incident requires one.</w:t>
      </w:r>
    </w:p>
    <w:p>
      <w:pPr>
        <w:pStyle w:val="Heading1"/>
        <w:keepNext/>
        <w:keepLines/>
        <w:pageBreakBefore/>
        <w:pBdr>
          <w:bottom w:val="single" w:color="D4DAE0" w:sz="4" w:space="4"/>
        </w:pBdr>
        <w:spacing w:after="140" w:before="300"/>
      </w:pPr>
      <w:bookmarkStart w:name="_RG0052" w:id="1"/>
      <w:r>
        <w:t xml:space="preserve">Appendix A.  Payment fraud first-hour checklist</w:t>
      </w:r>
      <w:bookmarkEnd w:id="1"/>
    </w:p>
    <w:p>
      <w:pPr>
        <w:spacing w:after="130" w:line="262"/>
      </w:pPr>
      <w:r>
        <w:t xml:space="preserve">Keep a printed copy with everyone who can release a payment. Complete it in order. Record the time each item is done.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6042"/>
        <w:gridCol w:w="1754"/>
        <w:gridCol w:w="1366"/>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604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Done by</w:t>
            </w:r>
          </w:p>
        </w:tc>
        <w:tc>
          <w:tcPr>
            <w:tcW w:type="dxa" w:w="136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Stop further payments to the same bank details; hold payments released on email instructions in the last 30 days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Call the bank's fraud line using the number on the bank's website or card, not from any email</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Report fraud, request recall or reversal, ask the bank to contact the receiving bank</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Ask for a Hold Harmless Letter or Letter of Indemnity</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Record the bank's fraud case reference and handler in Appendix C</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Phone the incident lead and executive sponsor; incident declared</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File at ic3.gov with full banking details; record complaint number</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Do not delete, reply to or forward the attacker's emails</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Export every email in the conversation with full headers</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Notify the insurer through the policy claims contact; record reference</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6042"/>
            <w:shd w:fill="FFFFFF" w:color="auto" w:val="clear"/>
            <w:tcMar>
              <w:top w:type="dxa" w:w="70"/>
              <w:left w:type="dxa" w:w="100"/>
              <w:bottom w:type="dxa" w:w="70"/>
              <w:right w:type="dxa" w:w="100"/>
            </w:tcMar>
            <w:vAlign w:val="top"/>
          </w:tcPr>
          <w:p>
            <w:pPr>
              <w:spacing w:after="0" w:before="0" w:line="252"/>
            </w:pPr>
            <w:r>
              <w:rPr>
                <w:sz w:val="17"/>
                <w:szCs w:val="17"/>
              </w:rPr>
              <w:t xml:space="preserve">Phone the genuine counterparty on the number on file</w:t>
            </w: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6042"/>
            <w:shd w:fill="F2F4F6" w:color="auto" w:val="clear"/>
            <w:tcMar>
              <w:top w:type="dxa" w:w="70"/>
              <w:left w:type="dxa" w:w="100"/>
              <w:bottom w:type="dxa" w:w="70"/>
              <w:right w:type="dxa" w:w="100"/>
            </w:tcMar>
            <w:vAlign w:val="top"/>
          </w:tcPr>
          <w:p>
            <w:pPr>
              <w:spacing w:after="0" w:before="0" w:line="252"/>
            </w:pPr>
            <w:r>
              <w:rPr>
                <w:sz w:val="17"/>
                <w:szCs w:val="17"/>
              </w:rPr>
              <w:t xml:space="preserve">Start the account takeover checklist for every internal mailbox in the conversation</w:t>
            </w: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5848"/>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84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Incident reference from PLN-IR-001</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Checklist completed by</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c>
          <w:tcPr>
            <w:tcW w:type="dxa" w:w="5848"/>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3" w:id="1"/>
      <w:r>
        <w:t xml:space="preserve">Appendix B.  Account takeover containment checklist</w:t>
      </w:r>
      <w:bookmarkEnd w:id="1"/>
    </w:p>
    <w:p>
      <w:pPr>
        <w:spacing w:after="130" w:line="262"/>
      </w:pPr>
      <w:r>
        <w:t xml:space="preserve">One checklist per affected account. Do not tick an item until the evidence column in section 5.1 has been saved.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5848"/>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84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Account</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Account holder [Name]</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Incident reference</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Email administrator [Name]</w:t>
            </w:r>
          </w:p>
        </w:tc>
        <w:tc>
          <w:tcPr>
            <w:tcW w:type="dxa" w:w="5848"/>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5360"/>
        <w:gridCol w:w="974"/>
        <w:gridCol w:w="1169"/>
        <w:gridCol w:w="1756"/>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36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Done</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c>
          <w:tcPr>
            <w:tcW w:type="dxa" w:w="17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Notes</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Sign-in log and audit log exported for the full available retention</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Sign-in blocked or account disabled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Password reset; new password given by phone or in person</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On-premises password reset twice, where synchronized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All sessions and refresh tokens revoked</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All multi-factor methods removed; re-registration required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App passwords deleted</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Recovery phone and email checked and corrected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Inbox rules, including hidden, recorded and attacker rules removed</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Mailbox forwarding checked and removed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Delegates and mailbox permissions checked and removed</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Application consents checked and removed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Administrative roles checked</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14</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Sent Items, Deleted Items and message trace checked for attacker mail</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15</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Attacker IP addresses and user agent searched across all accounts</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16</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Audit logging status confirmed for the tenant</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17</w:t>
            </w:r>
          </w:p>
        </w:tc>
        <w:tc>
          <w:tcPr>
            <w:tcW w:type="dxa" w:w="5360"/>
            <w:shd w:fill="FFFFFF" w:color="auto" w:val="clear"/>
            <w:tcMar>
              <w:top w:type="dxa" w:w="70"/>
              <w:left w:type="dxa" w:w="100"/>
              <w:bottom w:type="dxa" w:w="70"/>
              <w:right w:type="dxa" w:w="100"/>
            </w:tcMar>
            <w:vAlign w:val="top"/>
          </w:tcPr>
          <w:p>
            <w:pPr>
              <w:spacing w:after="0" w:before="0" w:line="252"/>
            </w:pPr>
            <w:r>
              <w:rPr>
                <w:sz w:val="17"/>
                <w:szCs w:val="17"/>
              </w:rPr>
              <w:t xml:space="preserve">Containment confirmed not less than two hours after last step</w:t>
            </w:r>
          </w:p>
        </w:tc>
        <w:tc>
          <w:tcPr>
            <w:tcW w:type="dxa" w:w="97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18</w:t>
            </w:r>
          </w:p>
        </w:tc>
        <w:tc>
          <w:tcPr>
            <w:tcW w:type="dxa" w:w="5360"/>
            <w:shd w:fill="F2F4F6" w:color="auto" w:val="clear"/>
            <w:tcMar>
              <w:top w:type="dxa" w:w="70"/>
              <w:left w:type="dxa" w:w="100"/>
              <w:bottom w:type="dxa" w:w="70"/>
              <w:right w:type="dxa" w:w="100"/>
            </w:tcMar>
            <w:vAlign w:val="top"/>
          </w:tcPr>
          <w:p>
            <w:pPr>
              <w:spacing w:after="0" w:before="0" w:line="252"/>
            </w:pPr>
            <w:r>
              <w:rPr>
                <w:sz w:val="17"/>
                <w:szCs w:val="17"/>
              </w:rPr>
              <w:t xml:space="preserve">User re-registered with identity confirmed; account returned; user briefed</w:t>
            </w:r>
          </w:p>
        </w:tc>
        <w:tc>
          <w:tcPr>
            <w:tcW w:type="dxa" w:w="97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4" w:id="1"/>
      <w:r>
        <w:t xml:space="preserve">Appendix C.  Bank recall request record</w:t>
      </w:r>
      <w:bookmarkEnd w:id="1"/>
    </w:p>
    <w:p>
      <w:pPr>
        <w:spacing w:after="130" w:line="262"/>
      </w:pPr>
      <w:r>
        <w:t xml:space="preserve">Complete during the first call to the bank and update after every subsequent call.</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Incident reference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Sending bank and account number</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Payment type (wire, ACH, real-time, check, card, gift card)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Amount and currency</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Value date and time released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Payment reference or trace number</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Beneficiary name as entered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Beneficiary account number and routing or SWIFT code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Receiving bank</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How the fraudulent instructions were received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Fraud line number called and its source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Time of first call</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Bank handler [Name] and direct line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Bank fraud case reference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Recall or reversal requested: yes or no, and time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Hold Harmless Letter or Letter of Indemnity requested: yes or no</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Documents the bank has asked for</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IC3 complaint number and time filed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Insurer claim reference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Police report reference, if required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Called by [Name]</w:t>
            </w:r>
          </w:p>
        </w:tc>
        <w:tc>
          <w:tcPr>
            <w:tcW w:type="dxa" w:w="53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949"/>
        <w:gridCol w:w="2144"/>
        <w:gridCol w:w="3313"/>
        <w:gridCol w:w="2340"/>
      </w:tblGrid>
      <w:tr>
        <w:trPr>
          <w:cantSplit/>
          <w:tblHeader/>
        </w:trPr>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 and time</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Spoke to [Name]</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Status reported by bank</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Next action</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2340"/>
            <w:shd w:fill="FFFFFF" w:color="auto" w:val="clear"/>
            <w:tcMar>
              <w:top w:type="dxa" w:w="70"/>
              <w:left w:type="dxa" w:w="100"/>
              <w:bottom w:type="dxa" w:w="70"/>
              <w:right w:type="dxa" w:w="100"/>
            </w:tcMar>
            <w:vAlign w:val="top"/>
          </w:tcPr>
          <w:p>
            <w:pPr>
              <w:spacing w:after="0" w:before="0" w:line="252"/>
            </w:pPr>
          </w:p>
        </w:tc>
      </w:tr>
      <w:tr>
        <w:trPr>
          <w:cantSplit/>
        </w:trPr>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3313"/>
            <w:shd w:fill="F2F4F6" w:color="auto" w:val="clear"/>
            <w:tcMar>
              <w:top w:type="dxa" w:w="70"/>
              <w:left w:type="dxa" w:w="100"/>
              <w:bottom w:type="dxa" w:w="70"/>
              <w:right w:type="dxa" w:w="100"/>
            </w:tcMar>
            <w:vAlign w:val="top"/>
          </w:tcPr>
          <w:p>
            <w:pPr>
              <w:spacing w:after="0" w:before="0" w:line="252"/>
            </w:pPr>
          </w:p>
        </w:tc>
        <w:tc>
          <w:tcPr>
            <w:tcW w:type="dxa" w:w="2340"/>
            <w:shd w:fill="F2F4F6" w:color="auto" w:val="clear"/>
            <w:tcMar>
              <w:top w:type="dxa" w:w="70"/>
              <w:left w:type="dxa" w:w="100"/>
              <w:bottom w:type="dxa" w:w="70"/>
              <w:right w:type="dxa" w:w="100"/>
            </w:tcMar>
            <w:vAlign w:val="top"/>
          </w:tcPr>
          <w:p>
            <w:pPr>
              <w:spacing w:after="0" w:before="0" w:line="252"/>
            </w:pP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2340"/>
            <w:shd w:fill="FFFFFF" w:color="auto" w:val="clear"/>
            <w:tcMar>
              <w:top w:type="dxa" w:w="70"/>
              <w:left w:type="dxa" w:w="100"/>
              <w:bottom w:type="dxa" w:w="70"/>
              <w:right w:type="dxa" w:w="100"/>
            </w:tcMar>
            <w:vAlign w:val="top"/>
          </w:tcPr>
          <w:p>
            <w:pPr>
              <w:spacing w:after="0" w:before="0" w:line="252"/>
            </w:pPr>
          </w:p>
        </w:tc>
      </w:tr>
      <w:tr>
        <w:trPr>
          <w:cantSplit/>
        </w:trPr>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3313"/>
            <w:shd w:fill="F2F4F6" w:color="auto" w:val="clear"/>
            <w:tcMar>
              <w:top w:type="dxa" w:w="70"/>
              <w:left w:type="dxa" w:w="100"/>
              <w:bottom w:type="dxa" w:w="70"/>
              <w:right w:type="dxa" w:w="100"/>
            </w:tcMar>
            <w:vAlign w:val="top"/>
          </w:tcPr>
          <w:p>
            <w:pPr>
              <w:spacing w:after="0" w:before="0" w:line="252"/>
            </w:pPr>
          </w:p>
        </w:tc>
        <w:tc>
          <w:tcPr>
            <w:tcW w:type="dxa" w:w="2340"/>
            <w:shd w:fill="F2F4F6" w:color="auto" w:val="clear"/>
            <w:tcMar>
              <w:top w:type="dxa" w:w="70"/>
              <w:left w:type="dxa" w:w="100"/>
              <w:bottom w:type="dxa" w:w="70"/>
              <w:right w:type="dxa" w:w="100"/>
            </w:tcMar>
            <w:vAlign w:val="top"/>
          </w:tcPr>
          <w:p>
            <w:pPr>
              <w:spacing w:after="0" w:before="0" w:line="252"/>
            </w:pP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Outcome</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Funds frozen, returned, partially returned, or not recoverable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Amount recovered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Date confirmed by bank</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Recorded by [Name]</w:t>
            </w:r>
          </w:p>
        </w:tc>
        <w:tc>
          <w:tcPr>
            <w:tcW w:type="dxa" w:w="53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5" w:id="1"/>
      <w:r>
        <w:t xml:space="preserve">Appendix D.  Mailbox investigation worksheet</w:t>
      </w:r>
      <w:bookmarkEnd w:id="1"/>
    </w:p>
    <w:p>
      <w:pPr>
        <w:spacing w:after="130" w:line="262"/>
      </w:pPr>
      <w:r>
        <w:t xml:space="preserve">One worksheet per mailbox. Record findings before removing anything.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Mailbox</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Account holder [Name]</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Investigator [Name]</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Audit logging enabled before the incident: yes or no</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Log retention available for sign-in and audit logs</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First unrecognized sign-in: time, IP address, location, user agent, application</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How access was likely obtained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Compromise period start</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Compromise period end (containment confirmed)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Mail access events available: yes or no; if no, whole mailbox treated as accessed</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Other services accessed with the same session (files, chat)</w:t>
            </w:r>
          </w:p>
        </w:tc>
        <w:tc>
          <w:tcPr>
            <w:tcW w:type="dxa" w:w="4873"/>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Inbox rules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559"/>
        <w:gridCol w:w="1949"/>
        <w:gridCol w:w="2144"/>
        <w:gridCol w:w="1364"/>
        <w:gridCol w:w="1364"/>
        <w:gridCol w:w="1366"/>
      </w:tblGrid>
      <w:tr>
        <w:trPr>
          <w:cantSplit/>
          <w:tblHeader/>
        </w:trPr>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Rule name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Conditions</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 and destination</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Created</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User confirms</w:t>
            </w:r>
          </w:p>
        </w:tc>
        <w:tc>
          <w:tcPr>
            <w:tcW w:type="dxa" w:w="136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Removed</w:t>
            </w:r>
          </w:p>
        </w:tc>
      </w:tr>
      <w:tr>
        <w:trPr>
          <w:cantSplit/>
        </w:trPr>
        <w:tc>
          <w:tcPr>
            <w:tcW w:type="dxa" w:w="155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155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155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Forwarding, delegates and application consents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559"/>
        <w:gridCol w:w="3313"/>
        <w:gridCol w:w="1754"/>
        <w:gridCol w:w="1559"/>
        <w:gridCol w:w="1561"/>
      </w:tblGrid>
      <w:tr>
        <w:trPr>
          <w:cantSplit/>
          <w:tblHeader/>
        </w:trPr>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Type</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Granted or set</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User confirms</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Removed</w:t>
            </w:r>
          </w:p>
        </w:tc>
      </w:tr>
      <w:tr>
        <w:trPr>
          <w:cantSplit/>
        </w:trPr>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Forwarding</w:t>
            </w:r>
          </w:p>
        </w:tc>
        <w:tc>
          <w:tcPr>
            <w:tcW w:type="dxa" w:w="331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Delegate</w:t>
            </w:r>
          </w:p>
        </w:tc>
        <w:tc>
          <w:tcPr>
            <w:tcW w:type="dxa" w:w="331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Delegate</w:t>
            </w:r>
          </w:p>
        </w:tc>
        <w:tc>
          <w:tcPr>
            <w:tcW w:type="dxa" w:w="331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Application</w:t>
            </w:r>
          </w:p>
        </w:tc>
        <w:tc>
          <w:tcPr>
            <w:tcW w:type="dxa" w:w="3313"/>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Application</w:t>
            </w:r>
          </w:p>
        </w:tc>
        <w:tc>
          <w:tcPr>
            <w:tcW w:type="dxa" w:w="3313"/>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Mail sent by the attacker</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364"/>
        <w:gridCol w:w="2923"/>
        <w:gridCol w:w="2533"/>
        <w:gridCol w:w="1559"/>
        <w:gridCol w:w="1367"/>
      </w:tblGrid>
      <w:tr>
        <w:trPr>
          <w:cantSplit/>
          <w:tblHeader/>
        </w:trPr>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Time</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Recipients</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Subject</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Payment instructions: yes or no</w:t>
            </w:r>
          </w:p>
        </w:tc>
        <w:tc>
          <w:tcPr>
            <w:tcW w:type="dxa" w:w="13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Passed to section 7</w:t>
            </w: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367"/>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367"/>
            <w:shd w:fill="F2F4F6" w:color="auto" w:val="clear"/>
            <w:tcMar>
              <w:top w:type="dxa" w:w="70"/>
              <w:left w:type="dxa" w:w="100"/>
              <w:bottom w:type="dxa" w:w="70"/>
              <w:right w:type="dxa" w:w="100"/>
            </w:tcMar>
            <w:vAlign w:val="top"/>
          </w:tcPr>
          <w:p>
            <w:pPr>
              <w:spacing w:after="0" w:before="0" w:line="252"/>
            </w:pPr>
          </w:p>
        </w:tc>
      </w:tr>
      <w:tr>
        <w:trPr>
          <w:cantSplit/>
        </w:trPr>
        <w:tc>
          <w:tcPr>
            <w:tcW w:type="dxa" w:w="1364"/>
            <w:shd w:fill="FFFFFF" w:color="auto" w:val="clear"/>
            <w:tcMar>
              <w:top w:type="dxa" w:w="70"/>
              <w:left w:type="dxa" w:w="100"/>
              <w:bottom w:type="dxa" w:w="70"/>
              <w:right w:type="dxa" w:w="100"/>
            </w:tcMar>
            <w:vAlign w:val="top"/>
          </w:tcPr>
          <w:p>
            <w:pPr>
              <w:spacing w:after="0" w:before="0" w:line="252"/>
            </w:pP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367"/>
            <w:shd w:fill="FFFFFF" w:color="auto" w:val="clear"/>
            <w:tcMar>
              <w:top w:type="dxa" w:w="70"/>
              <w:left w:type="dxa" w:w="100"/>
              <w:bottom w:type="dxa" w:w="70"/>
              <w:right w:type="dxa" w:w="100"/>
            </w:tcMar>
            <w:vAlign w:val="top"/>
          </w:tcPr>
          <w:p>
            <w:pPr>
              <w:spacing w:after="0" w:before="0" w:line="252"/>
            </w:pPr>
          </w:p>
        </w:tc>
      </w:tr>
      <w:tr>
        <w:trPr>
          <w:cantSplit/>
        </w:trPr>
        <w:tc>
          <w:tcPr>
            <w:tcW w:type="dxa" w:w="1364"/>
            <w:shd w:fill="F2F4F6" w:color="auto" w:val="clear"/>
            <w:tcMar>
              <w:top w:type="dxa" w:w="70"/>
              <w:left w:type="dxa" w:w="100"/>
              <w:bottom w:type="dxa" w:w="70"/>
              <w:right w:type="dxa" w:w="100"/>
            </w:tcMar>
            <w:vAlign w:val="top"/>
          </w:tcPr>
          <w:p>
            <w:pPr>
              <w:spacing w:after="0" w:before="0" w:line="252"/>
            </w:pP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36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Attacker indicators and other accounts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703"/>
        <w:gridCol w:w="3508"/>
        <w:gridCol w:w="2535"/>
      </w:tblGrid>
      <w:tr>
        <w:trPr>
          <w:cantSplit/>
          <w:tblHeader/>
        </w:trPr>
        <w:tc>
          <w:tcPr>
            <w:tcW w:type="dxa" w:w="370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Indicator (IP address, user agent, domain)</w:t>
            </w:r>
          </w:p>
        </w:tc>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Accounts with matching sign-ins</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 taken</w:t>
            </w:r>
          </w:p>
        </w:tc>
      </w:tr>
      <w:tr>
        <w:trPr>
          <w:cantSplit/>
        </w:trPr>
        <w:tc>
          <w:tcPr>
            <w:tcW w:type="dxa" w:w="3703"/>
            <w:shd w:fill="FFFFFF" w:color="auto" w:val="clear"/>
            <w:tcMar>
              <w:top w:type="dxa" w:w="70"/>
              <w:left w:type="dxa" w:w="100"/>
              <w:bottom w:type="dxa" w:w="70"/>
              <w:right w:type="dxa" w:w="100"/>
            </w:tcMar>
            <w:vAlign w:val="top"/>
          </w:tcPr>
          <w:p>
            <w:pPr>
              <w:spacing w:after="0" w:before="0" w:line="252"/>
            </w:pPr>
          </w:p>
        </w:tc>
        <w:tc>
          <w:tcPr>
            <w:tcW w:type="dxa" w:w="3508"/>
            <w:shd w:fill="FFFFFF" w:color="auto" w:val="clear"/>
            <w:tcMar>
              <w:top w:type="dxa" w:w="70"/>
              <w:left w:type="dxa" w:w="100"/>
              <w:bottom w:type="dxa" w:w="70"/>
              <w:right w:type="dxa" w:w="100"/>
            </w:tcMar>
            <w:vAlign w:val="top"/>
          </w:tcPr>
          <w:p>
            <w:pPr>
              <w:spacing w:after="0" w:before="0" w:line="252"/>
            </w:pPr>
          </w:p>
        </w:tc>
        <w:tc>
          <w:tcPr>
            <w:tcW w:type="dxa" w:w="2535"/>
            <w:shd w:fill="FFFFFF" w:color="auto" w:val="clear"/>
            <w:tcMar>
              <w:top w:type="dxa" w:w="70"/>
              <w:left w:type="dxa" w:w="100"/>
              <w:bottom w:type="dxa" w:w="70"/>
              <w:right w:type="dxa" w:w="100"/>
            </w:tcMar>
            <w:vAlign w:val="top"/>
          </w:tcPr>
          <w:p>
            <w:pPr>
              <w:spacing w:after="0" w:before="0" w:line="252"/>
            </w:pPr>
          </w:p>
        </w:tc>
      </w:tr>
      <w:tr>
        <w:trPr>
          <w:cantSplit/>
        </w:trPr>
        <w:tc>
          <w:tcPr>
            <w:tcW w:type="dxa" w:w="3703"/>
            <w:shd w:fill="F2F4F6" w:color="auto" w:val="clear"/>
            <w:tcMar>
              <w:top w:type="dxa" w:w="70"/>
              <w:left w:type="dxa" w:w="100"/>
              <w:bottom w:type="dxa" w:w="70"/>
              <w:right w:type="dxa" w:w="100"/>
            </w:tcMar>
            <w:vAlign w:val="top"/>
          </w:tcPr>
          <w:p>
            <w:pPr>
              <w:spacing w:after="0" w:before="0" w:line="252"/>
            </w:pPr>
          </w:p>
        </w:tc>
        <w:tc>
          <w:tcPr>
            <w:tcW w:type="dxa" w:w="3508"/>
            <w:shd w:fill="F2F4F6" w:color="auto" w:val="clear"/>
            <w:tcMar>
              <w:top w:type="dxa" w:w="70"/>
              <w:left w:type="dxa" w:w="100"/>
              <w:bottom w:type="dxa" w:w="70"/>
              <w:right w:type="dxa" w:w="100"/>
            </w:tcMar>
            <w:vAlign w:val="top"/>
          </w:tcPr>
          <w:p>
            <w:pPr>
              <w:spacing w:after="0" w:before="0" w:line="252"/>
            </w:pPr>
          </w:p>
        </w:tc>
        <w:tc>
          <w:tcPr>
            <w:tcW w:type="dxa" w:w="2535"/>
            <w:shd w:fill="F2F4F6" w:color="auto" w:val="clear"/>
            <w:tcMar>
              <w:top w:type="dxa" w:w="70"/>
              <w:left w:type="dxa" w:w="100"/>
              <w:bottom w:type="dxa" w:w="70"/>
              <w:right w:type="dxa" w:w="100"/>
            </w:tcMar>
            <w:vAlign w:val="top"/>
          </w:tcPr>
          <w:p>
            <w:pPr>
              <w:spacing w:after="0" w:before="0" w:line="252"/>
            </w:pPr>
          </w:p>
        </w:tc>
      </w:tr>
      <w:tr>
        <w:trPr>
          <w:cantSplit/>
        </w:trPr>
        <w:tc>
          <w:tcPr>
            <w:tcW w:type="dxa" w:w="3703"/>
            <w:shd w:fill="FFFFFF" w:color="auto" w:val="clear"/>
            <w:tcMar>
              <w:top w:type="dxa" w:w="70"/>
              <w:left w:type="dxa" w:w="100"/>
              <w:bottom w:type="dxa" w:w="70"/>
              <w:right w:type="dxa" w:w="100"/>
            </w:tcMar>
            <w:vAlign w:val="top"/>
          </w:tcPr>
          <w:p>
            <w:pPr>
              <w:spacing w:after="0" w:before="0" w:line="252"/>
            </w:pPr>
          </w:p>
        </w:tc>
        <w:tc>
          <w:tcPr>
            <w:tcW w:type="dxa" w:w="3508"/>
            <w:shd w:fill="FFFFFF" w:color="auto" w:val="clear"/>
            <w:tcMar>
              <w:top w:type="dxa" w:w="70"/>
              <w:left w:type="dxa" w:w="100"/>
              <w:bottom w:type="dxa" w:w="70"/>
              <w:right w:type="dxa" w:w="100"/>
            </w:tcMar>
            <w:vAlign w:val="top"/>
          </w:tcPr>
          <w:p>
            <w:pPr>
              <w:spacing w:after="0" w:before="0" w:line="252"/>
            </w:pPr>
          </w:p>
        </w:tc>
        <w:tc>
          <w:tcPr>
            <w:tcW w:type="dxa" w:w="2535"/>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6" w:id="1"/>
      <w:r>
        <w:t xml:space="preserve">Appendix E.  Third-party notification log</w:t>
      </w:r>
      <w:bookmarkEnd w:id="1"/>
    </w:p>
    <w:p>
      <w:pPr>
        <w:spacing w:after="130" w:line="262"/>
      </w:pPr>
      <w:r>
        <w:t xml:space="preserve">One row per counterparty. The phone number used must be one held on file before the incident, and its source is recorded.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2144"/>
        <w:gridCol w:w="1949"/>
        <w:gridCol w:w="2144"/>
        <w:gridCol w:w="1365"/>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Counterparty [Name]</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Number called and its source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Spoke to [Name], time</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Outcome</w:t>
            </w:r>
          </w:p>
        </w:tc>
        <w:tc>
          <w:tcPr>
            <w:tcW w:type="dxa" w:w="136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Written confirmation sent</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5"/>
            <w:shd w:fill="FFFFFF" w:color="auto" w:val="clear"/>
            <w:tcMar>
              <w:top w:type="dxa" w:w="70"/>
              <w:left w:type="dxa" w:w="100"/>
              <w:bottom w:type="dxa" w:w="70"/>
              <w:right w:type="dxa" w:w="100"/>
            </w:tcMar>
            <w:vAlign w:val="top"/>
          </w:tcPr>
          <w:p>
            <w:pPr>
              <w:spacing w:after="0" w:before="0" w:line="252"/>
            </w:pPr>
          </w:p>
        </w:tc>
      </w:tr>
      <w:tr>
        <w:trPr>
          <w:cantSplit/>
        </w:trPr>
        <w:tc>
          <w:tcPr>
            <w:tcW w:type="dxa" w:w="214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5"/>
            <w:shd w:fill="F2F4F6" w:color="auto" w:val="clear"/>
            <w:tcMar>
              <w:top w:type="dxa" w:w="70"/>
              <w:left w:type="dxa" w:w="100"/>
              <w:bottom w:type="dxa" w:w="70"/>
              <w:right w:type="dxa" w:w="100"/>
            </w:tcMar>
            <w:vAlign w:val="top"/>
          </w:tcPr>
          <w:p>
            <w:pPr>
              <w:spacing w:after="0" w:before="0" w:line="252"/>
            </w:pP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5"/>
            <w:shd w:fill="FFFFFF" w:color="auto" w:val="clear"/>
            <w:tcMar>
              <w:top w:type="dxa" w:w="70"/>
              <w:left w:type="dxa" w:w="100"/>
              <w:bottom w:type="dxa" w:w="70"/>
              <w:right w:type="dxa" w:w="100"/>
            </w:tcMar>
            <w:vAlign w:val="top"/>
          </w:tcPr>
          <w:p>
            <w:pPr>
              <w:spacing w:after="0" w:before="0" w:line="252"/>
            </w:pPr>
          </w:p>
        </w:tc>
      </w:tr>
      <w:tr>
        <w:trPr>
          <w:cantSplit/>
        </w:trPr>
        <w:tc>
          <w:tcPr>
            <w:tcW w:type="dxa" w:w="214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5"/>
            <w:shd w:fill="F2F4F6" w:color="auto" w:val="clear"/>
            <w:tcMar>
              <w:top w:type="dxa" w:w="70"/>
              <w:left w:type="dxa" w:w="100"/>
              <w:bottom w:type="dxa" w:w="70"/>
              <w:right w:type="dxa" w:w="100"/>
            </w:tcMar>
            <w:vAlign w:val="top"/>
          </w:tcPr>
          <w:p>
            <w:pPr>
              <w:spacing w:after="0" w:before="0" w:line="252"/>
            </w:pP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5"/>
            <w:shd w:fill="FFFFFF" w:color="auto" w:val="clear"/>
            <w:tcMar>
              <w:top w:type="dxa" w:w="70"/>
              <w:left w:type="dxa" w:w="100"/>
              <w:bottom w:type="dxa" w:w="70"/>
              <w:right w:type="dxa" w:w="100"/>
            </w:tcMar>
            <w:vAlign w:val="top"/>
          </w:tcPr>
          <w:p>
            <w:pPr>
              <w:spacing w:after="0" w:before="0" w:line="252"/>
            </w:pPr>
          </w:p>
        </w:tc>
      </w:tr>
      <w:tr>
        <w:trPr>
          <w:cantSplit/>
        </w:trPr>
        <w:tc>
          <w:tcPr>
            <w:tcW w:type="dxa" w:w="214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5"/>
            <w:shd w:fill="F2F4F6" w:color="auto" w:val="clear"/>
            <w:tcMar>
              <w:top w:type="dxa" w:w="70"/>
              <w:left w:type="dxa" w:w="100"/>
              <w:bottom w:type="dxa" w:w="70"/>
              <w:right w:type="dxa" w:w="100"/>
            </w:tcMar>
            <w:vAlign w:val="top"/>
          </w:tcPr>
          <w:p>
            <w:pPr>
              <w:spacing w:after="0" w:before="0" w:line="252"/>
            </w:pP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5"/>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130" w:line="262"/>
      </w:pPr>
      <w:r>
        <w:t xml:space="preserve">Outcome codes: warned, no payment affected; warned, payment pending and stopped; counterparty reports payment made to fraudulent details and has been told to call its bank and file with IC3; not reached, escalated.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5848"/>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Escalation decision</w:t>
            </w:r>
          </w:p>
        </w:tc>
        <w:tc>
          <w:tcPr>
            <w:tcW w:type="dxa" w:w="584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Counterparties not reached within one business day</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Decision and reason</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Decided by [Name] and date</w:t>
            </w:r>
          </w:p>
        </w:tc>
        <w:tc>
          <w:tcPr>
            <w:tcW w:type="dxa" w:w="5848"/>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7" w:id="1"/>
      <w:r>
        <w:t xml:space="preserve">Appendix F.  Customer warning message templates</w:t>
      </w:r>
      <w:bookmarkEnd w:id="1"/>
    </w:p>
    <w:p>
      <w:pPr>
        <w:spacing w:after="130" w:line="262"/>
      </w:pPr>
      <w:r>
        <w:t xml:space="preserve">Templates are adapted to the incident and approved by the incident lead before use. Placeholders are names only. Each written message is preceded by a phone call where Appendix E lists the counterparty.</w:t>
      </w:r>
    </w:p>
    <w:p>
      <w:pPr>
        <w:keepNext/>
        <w:spacing w:after="70" w:before="180"/>
      </w:pPr>
      <w:r>
        <w:rPr>
          <w:b/>
          <w:bCs/>
          <w:color w:val="15314B"/>
          <w:sz w:val="19"/>
          <w:szCs w:val="19"/>
        </w:rPr>
        <w:t xml:space="preserve">Call script for counterparties</w:t>
      </w:r>
    </w:p>
    <w:p>
      <w:pPr>
        <w:pStyle w:val="ListParagraph"/>
        <w:numPr>
          <w:ilvl w:val="0"/>
          <w:numId w:val="4"/>
        </w:numPr>
        <w:spacing w:after="60" w:line="262"/>
      </w:pPr>
      <w:r>
        <w:t xml:space="preserve">Identify the caller by name and role, and state that the call is from [Organization name] about payment security.</w:t>
      </w:r>
    </w:p>
    <w:p>
      <w:pPr>
        <w:pStyle w:val="ListParagraph"/>
        <w:numPr>
          <w:ilvl w:val="0"/>
          <w:numId w:val="4"/>
        </w:numPr>
        <w:spacing w:after="60" w:line="262"/>
      </w:pPr>
      <w:r>
        <w:t xml:space="preserve">State that [Organization name] has identified fraudulent emails that may have reached the counterparty, sent either from a compromised account or from an address imitating [Organization name].</w:t>
      </w:r>
    </w:p>
    <w:p>
      <w:pPr>
        <w:pStyle w:val="ListParagraph"/>
        <w:numPr>
          <w:ilvl w:val="0"/>
          <w:numId w:val="4"/>
        </w:numPr>
        <w:spacing w:after="60" w:line="262"/>
      </w:pPr>
      <w:r>
        <w:t xml:space="preserve">Ask whether the counterparty has received any request in the past 30 days to change the bank details used to pay [Organization name], or any new invoice with different payment details.</w:t>
      </w:r>
    </w:p>
    <w:p>
      <w:pPr>
        <w:pStyle w:val="ListParagraph"/>
        <w:numPr>
          <w:ilvl w:val="0"/>
          <w:numId w:val="4"/>
        </w:numPr>
        <w:spacing w:after="60" w:line="262"/>
      </w:pPr>
      <w:r>
        <w:t xml:space="preserve">Confirm the correct bank details already held by the counterparty by asking them to read them back, rather than reading new details out.</w:t>
      </w:r>
    </w:p>
    <w:p>
      <w:pPr>
        <w:pStyle w:val="ListParagraph"/>
        <w:numPr>
          <w:ilvl w:val="0"/>
          <w:numId w:val="4"/>
        </w:numPr>
        <w:spacing w:after="60" w:line="262"/>
      </w:pPr>
      <w:r>
        <w:t xml:space="preserve">Ask whether any payment has been made to different details. If so, advise the counterparty to call its own bank's fraud line immediately and to file a complaint at ic3.gov.</w:t>
      </w:r>
    </w:p>
    <w:p>
      <w:pPr>
        <w:pStyle w:val="ListParagraph"/>
        <w:numPr>
          <w:ilvl w:val="0"/>
          <w:numId w:val="4"/>
        </w:numPr>
        <w:spacing w:after="60" w:line="262"/>
      </w:pPr>
      <w:r>
        <w:t xml:space="preserve">State that [Organization name] will never change its bank details by email alone, and that any such request should be checked by calling the number already on file.</w:t>
      </w:r>
    </w:p>
    <w:p>
      <w:pPr>
        <w:pStyle w:val="ListParagraph"/>
        <w:numPr>
          <w:ilvl w:val="0"/>
          <w:numId w:val="4"/>
        </w:numPr>
        <w:spacing w:after="60" w:line="262"/>
      </w:pPr>
      <w:r>
        <w:t xml:space="preserve">Record the outcome in Appendix E.</w:t>
      </w:r>
    </w:p>
    <w:p>
      <w:pPr>
        <w:keepNext/>
        <w:spacing w:after="70" w:before="180"/>
      </w:pPr>
      <w:r>
        <w:rPr>
          <w:b/>
          <w:bCs/>
          <w:color w:val="15314B"/>
          <w:sz w:val="19"/>
          <w:szCs w:val="19"/>
        </w:rPr>
        <w:t xml:space="preserve">Written confirmation to an individual counterparty</w:t>
      </w:r>
    </w:p>
    <w:p>
      <w:pPr>
        <w:keepNext/>
        <w:keepLines/>
        <w:pBdr>
          <w:top w:val="single" w:color="D4DAE0" w:sz="4" w:space="9"/>
        </w:pBdr>
        <w:spacing w:after="46" w:before="110"/>
      </w:pPr>
      <w:r>
        <w:rPr>
          <w:b/>
          <w:bCs/>
          <w:color w:val="2E5C7A"/>
          <w:sz w:val="21"/>
          <w:szCs w:val="21"/>
        </w:rPr>
        <w:t xml:space="preserve">Subject</w:t>
      </w:r>
    </w:p>
    <w:p>
      <w:pPr>
        <w:spacing w:after="62" w:line="262"/>
        <w:ind w:left="172"/>
      </w:pPr>
      <w:r>
        <w:t xml:space="preserve">Payment security notice from [Organization name]</w:t>
      </w:r>
    </w:p>
    <w:p>
      <w:pPr>
        <w:keepNext/>
        <w:keepLines/>
        <w:pBdr>
          <w:top w:val="single" w:color="D4DAE0" w:sz="4" w:space="9"/>
        </w:pBdr>
        <w:spacing w:after="46" w:before="170"/>
      </w:pPr>
      <w:r>
        <w:rPr>
          <w:b/>
          <w:bCs/>
          <w:color w:val="2E5C7A"/>
          <w:sz w:val="21"/>
          <w:szCs w:val="21"/>
        </w:rPr>
        <w:t xml:space="preserve">Body</w:t>
      </w:r>
    </w:p>
    <w:p>
      <w:pPr>
        <w:spacing w:after="62" w:line="262"/>
        <w:ind w:left="172"/>
      </w:pPr>
      <w:r>
        <w:t xml:space="preserve">Dear [Contact name], this message confirms the call today from [Caller name] of [Organization name]. Fraudulent emails asking for payments to be sent to new bank details have been sent to some customers and suppliers of [Organization name]. Any email received in the past 30 days that asks for payments to [Organization name] to go to different bank details should not be acted on. The bank details for [Organization name] have not changed. [Organization name] will never change its bank details by email alone. Before making any payment to new or changed details, call [Organization name] on the number already held on file, not a number given in an email. If any payment has already been made to different details, call the bank that sent it immediately and ask for a recall, and file a complaint at ic3.gov. Regards, [Sender name], [Organization name].</w:t>
      </w:r>
    </w:p>
    <w:p>
      <w:pPr>
        <w:keepNext/>
        <w:spacing w:after="70" w:before="180"/>
      </w:pPr>
      <w:r>
        <w:rPr>
          <w:b/>
          <w:bCs/>
          <w:color w:val="15314B"/>
          <w:sz w:val="19"/>
          <w:szCs w:val="19"/>
        </w:rPr>
        <w:t xml:space="preserve">General notice to all customers who pay by bank transfer</w:t>
      </w:r>
    </w:p>
    <w:p>
      <w:pPr>
        <w:keepNext/>
        <w:keepLines/>
        <w:pBdr>
          <w:top w:val="single" w:color="D4DAE0" w:sz="4" w:space="9"/>
        </w:pBdr>
        <w:spacing w:after="46" w:before="110"/>
      </w:pPr>
      <w:r>
        <w:rPr>
          <w:b/>
          <w:bCs/>
          <w:color w:val="2E5C7A"/>
          <w:sz w:val="21"/>
          <w:szCs w:val="21"/>
        </w:rPr>
        <w:t xml:space="preserve">Subject</w:t>
      </w:r>
    </w:p>
    <w:p>
      <w:pPr>
        <w:spacing w:after="62" w:line="262"/>
        <w:ind w:left="172"/>
      </w:pPr>
      <w:r>
        <w:t xml:space="preserve">Important: verify any change to payment details for [Organization name]</w:t>
      </w:r>
    </w:p>
    <w:p>
      <w:pPr>
        <w:keepNext/>
        <w:keepLines/>
        <w:pBdr>
          <w:top w:val="single" w:color="D4DAE0" w:sz="4" w:space="9"/>
        </w:pBdr>
        <w:spacing w:after="46" w:before="170"/>
      </w:pPr>
      <w:r>
        <w:rPr>
          <w:b/>
          <w:bCs/>
          <w:color w:val="2E5C7A"/>
          <w:sz w:val="21"/>
          <w:szCs w:val="21"/>
        </w:rPr>
        <w:t xml:space="preserve">Body</w:t>
      </w:r>
    </w:p>
    <w:p>
      <w:pPr>
        <w:spacing w:after="62" w:line="262"/>
        <w:ind w:left="172"/>
      </w:pPr>
      <w:r>
        <w:t xml:space="preserve">Criminals are sending emails that imitate [Organization name] and ask customers to pay invoices into new bank accounts. These messages may look genuine and may continue an existing email conversation. The bank details for [Organization name] have not changed. [Organization name] does not change bank details by email. Any request to pay [Organization name] into a different account should be confirmed by calling the number already held on file before any payment is made. Any customer who has paid into an account different from the one on file in the past 30 days should contact their bank's fraud line immediately, file a complaint at ic3.gov, and then call [Organization name] on the number on file. [Sender name], [Organization name].</w:t>
      </w:r>
    </w:p>
    <w:p>
      <w:pPr>
        <w:keepNext/>
        <w:spacing w:after="70" w:before="180"/>
      </w:pPr>
      <w:r>
        <w:rPr>
          <w:b/>
          <w:bCs/>
          <w:color w:val="15314B"/>
          <w:sz w:val="19"/>
          <w:szCs w:val="19"/>
        </w:rPr>
        <w:t xml:space="preserve">Notice to employees about a payroll diversion</w:t>
      </w:r>
    </w:p>
    <w:p>
      <w:pPr>
        <w:keepNext/>
        <w:keepLines/>
        <w:pBdr>
          <w:top w:val="single" w:color="D4DAE0" w:sz="4" w:space="9"/>
        </w:pBdr>
        <w:spacing w:after="46" w:before="110"/>
      </w:pPr>
      <w:r>
        <w:rPr>
          <w:b/>
          <w:bCs/>
          <w:color w:val="2E5C7A"/>
          <w:sz w:val="21"/>
          <w:szCs w:val="21"/>
        </w:rPr>
        <w:t xml:space="preserve">Subject</w:t>
      </w:r>
    </w:p>
    <w:p>
      <w:pPr>
        <w:spacing w:after="62" w:line="262"/>
        <w:ind w:left="172"/>
      </w:pPr>
      <w:r>
        <w:t xml:space="preserve">Direct deposit changes at [Organization name]</w:t>
      </w:r>
    </w:p>
    <w:p>
      <w:pPr>
        <w:keepNext/>
        <w:keepLines/>
        <w:pBdr>
          <w:top w:val="single" w:color="D4DAE0" w:sz="4" w:space="9"/>
        </w:pBdr>
        <w:spacing w:after="46" w:before="170"/>
      </w:pPr>
      <w:r>
        <w:rPr>
          <w:b/>
          <w:bCs/>
          <w:color w:val="2E5C7A"/>
          <w:sz w:val="21"/>
          <w:szCs w:val="21"/>
        </w:rPr>
        <w:t xml:space="preserve">Body</w:t>
      </w:r>
    </w:p>
    <w:p>
      <w:pPr>
        <w:spacing w:after="62" w:line="262"/>
        <w:ind w:left="172"/>
      </w:pPr>
      <w:r>
        <w:t xml:space="preserve">A fraudulent request to change an employee's direct deposit details was received by [Organization name]. Direct deposit details at [Organization name] are changed only after the change is confirmed with the employee in person, by video call, or by a call to the phone number already held by HR. Any email, text or message asking for sign-in details for the payroll portal, or asking an employee to confirm bank details by reply, should be reported to [Contact name] and not answered. [Sender name], [Organization name].</w:t>
      </w:r>
    </w:p>
    <w:p>
      <w:pPr>
        <w:spacing w:after="60" w:line="120"/>
      </w:pPr>
      <w:r>
        <w:rPr>
          <w:sz w:val="4"/>
          <w:szCs w:val="4"/>
        </w:rPr>
        <w:t xml:space="preserve"/>
      </w:r>
    </w:p>
    <w:p>
      <w:pPr>
        <w:pStyle w:val="Heading1"/>
        <w:keepNext/>
        <w:keepLines/>
        <w:pBdr>
          <w:bottom w:val="single" w:color="D4DAE0" w:sz="4" w:space="4"/>
        </w:pBdr>
        <w:spacing w:after="140" w:before="300"/>
      </w:pPr>
      <w:bookmarkStart w:name="_RG0058" w:id="1"/>
      <w:r>
        <w:t xml:space="preserve">Appendix G.  Guidance on payment change verification controls</w:t>
      </w:r>
      <w:bookmarkEnd w:id="1"/>
    </w:p>
    <w:p>
      <w:pPr>
        <w:spacing w:after="130" w:line="262"/>
      </w:pPr>
      <w:r>
        <w:t xml:space="preserve">This appendix is guidance for adopting section 10. It is advisory and is not part of the operational requirements.</w:t>
      </w:r>
    </w:p>
    <w:p>
      <w:pPr>
        <w:keepNext/>
        <w:spacing w:after="70" w:before="180"/>
      </w:pPr>
      <w:r>
        <w:rPr>
          <w:b/>
          <w:bCs/>
          <w:color w:val="15314B"/>
          <w:sz w:val="19"/>
          <w:szCs w:val="19"/>
        </w:rPr>
        <w:t xml:space="preserve">Why the phone call has to be outbound, to a number you already had</w:t>
      </w:r>
    </w:p>
    <w:p>
      <w:pPr>
        <w:spacing w:after="130" w:line="262"/>
      </w:pPr>
      <w:r>
        <w:t xml:space="preserve">The single control that stops most redirected payments is a call you place, to a number you held before the request arrived. The detail matters. Attackers who control a supplier's mailbox will put their own phone number in the signature and answer it convincingly. Attackers who register a lookalike domain will include a number on the fake invoice. A callback to any number in the request verifies nothing. If your vendor master has no phone number for a supplier, or only a number that was itself added in an email exchange, fix that during onboarding rather than at the moment a change is requested.</w:t>
      </w:r>
    </w:p>
    <w:p>
      <w:pPr>
        <w:keepNext/>
        <w:spacing w:after="70" w:before="180"/>
      </w:pPr>
      <w:r>
        <w:rPr>
          <w:b/>
          <w:bCs/>
          <w:color w:val="15314B"/>
          <w:sz w:val="19"/>
          <w:szCs w:val="19"/>
        </w:rPr>
        <w:t xml:space="preserve">Make the record do the work</w:t>
      </w:r>
    </w:p>
    <w:p>
      <w:pPr>
        <w:spacing w:after="130" w:line="262"/>
      </w:pPr>
      <w:r>
        <w:t xml:space="preserve">A verification that is not recorded cannot be reviewed, and a control that cannot be reviewed drifts. Keep the verification record in the same place as the change, with the number called, where that number came from, who answered, who called, and the time. Then have a second person enter the change. That separation is what turns a habit into a control, because the person entering the change can refuse to do it when the record is missing.</w:t>
      </w:r>
    </w:p>
    <w:p>
      <w:pPr>
        <w:keepNext/>
        <w:spacing w:after="70" w:before="180"/>
      </w:pPr>
      <w:r>
        <w:rPr>
          <w:b/>
          <w:bCs/>
          <w:color w:val="15314B"/>
          <w:sz w:val="19"/>
          <w:szCs w:val="19"/>
        </w:rPr>
        <w:t xml:space="preserve">Reconcile, do not sample</w:t>
      </w:r>
    </w:p>
    <w:p>
      <w:pPr>
        <w:spacing w:after="130" w:line="262"/>
      </w:pPr>
      <w:r>
        <w:t xml:space="preserve">The monthly check in section 14 compares the accounts system's change log with the verification records. Sampling a handful of verified changes tells you only that the ones you looked at were verified; it cannot find the change that bypassed the process. Pull every bank detail change for the month from the system log and match each to a record. Most accounting and payroll systems can export a change history; if yours cannot, that is worth knowing before an incident.</w:t>
      </w:r>
    </w:p>
    <w:p>
      <w:pPr>
        <w:keepNext/>
        <w:spacing w:after="70" w:before="180"/>
      </w:pPr>
      <w:r>
        <w:rPr>
          <w:b/>
          <w:bCs/>
          <w:color w:val="15314B"/>
          <w:sz w:val="19"/>
          <w:szCs w:val="19"/>
        </w:rPr>
        <w:t xml:space="preserve">The cooling-off period will be unpopular, so decide the exception route in advance</w:t>
      </w:r>
    </w:p>
    <w:p>
      <w:pPr>
        <w:spacing w:after="130" w:line="262"/>
      </w:pPr>
      <w:r>
        <w:t xml:space="preserve">Two business days before a first payment to new details will occasionally collide with a genuine deadline. If there is no sanctioned exception route, people will find an unsanctioned one. Section 10.3 gives the finance lead authority to approve an exception after a second independent verification call. Keep the exception register visible and review it monthly; a rising count is a signal that either the deadline pressure or the process needs attention.</w:t>
      </w:r>
    </w:p>
    <w:p>
      <w:pPr>
        <w:keepNext/>
        <w:spacing w:after="70" w:before="180"/>
      </w:pPr>
      <w:r>
        <w:rPr>
          <w:b/>
          <w:bCs/>
          <w:color w:val="15314B"/>
          <w:sz w:val="19"/>
          <w:szCs w:val="19"/>
        </w:rPr>
        <w:t xml:space="preserve">Executive requests</w:t>
      </w:r>
    </w:p>
    <w:p>
      <w:pPr>
        <w:spacing w:after="130" w:line="262"/>
      </w:pPr>
      <w:r>
        <w:t xml:space="preserve">Impersonated executive requests work because staff are reluctant to slow down a senior person. The fix is a standing instruction from the executives themselves, issued in writing and repeated at onboarding, that they will never ask for a payment, a gift card or a bank detail change by email or message alone, and that anyone who verifies such a request by phone will be thanked rather than criticized. Without that instruction from the top, the control depends on individual courage.</w:t>
      </w:r>
    </w:p>
    <w:p>
      <w:pPr>
        <w:keepNext/>
        <w:spacing w:after="70" w:before="180"/>
      </w:pPr>
      <w:r>
        <w:rPr>
          <w:b/>
          <w:bCs/>
          <w:color w:val="15314B"/>
          <w:sz w:val="19"/>
          <w:szCs w:val="19"/>
        </w:rPr>
        <w:t xml:space="preserve">Payroll</w:t>
      </w:r>
    </w:p>
    <w:p>
      <w:pPr>
        <w:spacing w:after="130" w:line="262"/>
      </w:pPr>
      <w:r>
        <w:t xml:space="preserve">Payroll diversion often arrives as a polite email from an employee's address, or a personal address, asking HR to update direct deposit before the next pay run. Treat it exactly like a supplier change: verify with the employee by a channel already on file, and hold the change for the cooling-off period. Where employees can change their own details in a self-service portal, make sure the portal requires multi-factor authentication and sends a notice to the employee's previous contact details when bank details change.</w:t>
      </w:r>
    </w:p>
    <w:p>
      <w:pPr>
        <w:keepNext/>
        <w:spacing w:after="70" w:before="180"/>
      </w:pPr>
      <w:r>
        <w:rPr>
          <w:b/>
          <w:bCs/>
          <w:color w:val="15314B"/>
          <w:sz w:val="19"/>
          <w:szCs w:val="19"/>
        </w:rPr>
        <w:t xml:space="preserve">Talk to your bank</w:t>
      </w:r>
    </w:p>
    <w:p>
      <w:pPr>
        <w:spacing w:after="130" w:line="262"/>
      </w:pPr>
      <w:r>
        <w:t xml:space="preserve">Ask your bank which fraud controls it offers for business accounts: payee name checking, positive pay for checks, callback confirmation for wires, dual control in the online banking platform, and limits on new payees. Many of these cost little or nothing and are not enabled by default. Ask, too, for the direct number of the fraud or wire operations team and put it on the Appendix A checklist now, so nobody has to search for it during an incident.</w:t>
      </w:r>
    </w:p>
    <w:p>
      <w:pPr>
        <w:pStyle w:val="Heading1"/>
        <w:keepNext/>
        <w:keepLines/>
        <w:pageBreakBefore/>
        <w:pBdr>
          <w:bottom w:val="single" w:color="D4DAE0" w:sz="4" w:space="4"/>
        </w:pBdr>
        <w:spacing w:after="140" w:before="300"/>
      </w:pPr>
      <w:bookmarkStart w:name="_RG0059" w:id="1"/>
      <w:r>
        <w:t xml:space="preserve">Glossary</w:t>
      </w:r>
      <w:bookmarkEnd w:id="1"/>
    </w:p>
    <w:p>
      <w:pPr>
        <w:pStyle w:val="Heading2"/>
        <w:keepNext/>
        <w:keepLines/>
        <w:spacing w:after="90" w:before="220"/>
      </w:pPr>
      <w:bookmarkStart w:name="_RG0060" w:id="1"/>
      <w:r>
        <w:t xml:space="preserve">Acronyms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7602"/>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Acronym</w:t>
            </w:r>
          </w:p>
        </w:tc>
        <w:tc>
          <w:tcPr>
            <w:tcW w:type="dxa" w:w="760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Meaning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ACH</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Automated Clearing House, a US electronic payment network</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BEC</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Business email compromise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CAE</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Continuous Access Evaluation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CSF</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NIST Cybersecurity Framework</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DKIM</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DomainKeys Identified Mail</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DMARC</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Domain-based Message Authentication, Reporting, and Conformance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FBI</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Federal Bureau of Investigation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FinCEN</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Financial Crimes Enforcement Network, US Department of the Treasury</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FTC</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Federal Trade Commission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HIPAA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Health Insurance Portability and Accountability Act</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IC3</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Internet Crime Complaint Center, operated by the FBI</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MFA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Multi-factor authentication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NIST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National Institute of Standards and Technology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OAuth</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An authorization standard used to grant applications access to an account without sharing its password</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RAT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Recovery Asset Team, part of IC3</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SPF</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Sender Policy Framework</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SWIFT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Society for Worldwide Interbank Financial Telecommunication</w:t>
            </w:r>
          </w:p>
        </w:tc>
      </w:tr>
    </w:tbl>
    <w:p>
      <w:pPr>
        <w:spacing w:after="120" w:line="120"/>
      </w:pPr>
      <w:r>
        <w:rPr>
          <w:sz w:val="4"/>
          <w:szCs w:val="4"/>
        </w:rPr>
        <w:t xml:space="preserve"/>
      </w:r>
    </w:p>
    <w:p>
      <w:pPr>
        <w:pStyle w:val="Heading2"/>
        <w:keepNext/>
        <w:keepLines/>
        <w:spacing w:after="90" w:before="220"/>
      </w:pPr>
      <w:bookmarkStart w:name="_RG0061" w:id="1"/>
      <w:r>
        <w:t xml:space="preserve">Definitions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7213"/>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Term</w:t>
            </w:r>
          </w:p>
        </w:tc>
        <w:tc>
          <w:tcPr>
            <w:tcW w:type="dxa" w:w="72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Definition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Account takeover</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Use of an organizational account, typically a mailbox, by someone other than its authorized holder.</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Application consent</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Permission granted by a user or administrator for a third-party application to access account data, such as reading or sending mail, which persists independently of the user's password.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Compromise period</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time from the earliest evidence of attacker access to an account until containment is confirmed.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Cooling-off period</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minimum interval between verifying new or changed payee bank details and releasing the first payment to them.</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Delegate</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person granted permission to read, send from or manage another person's mailbox.</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Financial Fraud Kill Chain</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process through which the IC3 Recovery Asset Team works with financial institutions to freeze funds from fraudulent transactions.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Hold Harmless Letter or Letter of Indemnity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document a sending bank may provide to a receiving bank when requesting return of funds, which the FBI advises victims to request.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Inbox rule</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mailbox rule that acts on incoming or outgoing messages, for example by forwarding, moving or deleting them; in Gmail the equivalent is a filter.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Lookalike domain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domain registered to resemble a legitimate one closely enough to deceive a reader, for example by substituting or adding characters.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Number on file</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phone number recorded in the organization's systems or contracts before the request being verified was received.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Out-of-band verification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Confirmation of a request through a channel different from, and not controllable through, the channel by which the request arrived.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Recall</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request by the sending bank to the receiving bank to return a payment.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Refresh token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credential that allows an application to obtain new access tokens without the user signing in again; revoking it forces reauthentication.</w:t>
            </w:r>
          </w:p>
        </w:tc>
      </w:tr>
    </w:tbl>
    <w:p>
      <w:pPr>
        <w:spacing w:after="120" w:line="120"/>
      </w:pPr>
      <w:r>
        <w:rPr>
          <w:sz w:val="4"/>
          <w:szCs w:val="4"/>
        </w:rPr>
        <w:t xml:space="preserve"/>
      </w:r>
    </w:p>
    <w:p>
      <w:pPr>
        <w:pStyle w:val="Heading1"/>
        <w:keepNext/>
        <w:keepLines/>
        <w:pBdr>
          <w:bottom w:val="single" w:color="D4DAE0" w:sz="4" w:space="4"/>
        </w:pBdr>
        <w:spacing w:after="140" w:before="300"/>
      </w:pPr>
      <w:bookmarkStart w:name="_RG0062" w:id="1"/>
      <w:r>
        <w:t xml:space="preserve">Record of changes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754"/>
        <w:gridCol w:w="4483"/>
        <w:gridCol w:w="2340"/>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 of change</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1.0</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October 2026</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First issue.</w:t>
            </w: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sectPr>
      <w:headerReference w:type="default" r:id="rId7"/>
      <w:headerReference w:type="first" r:id="rId8"/>
      <w:footerReference w:type="default" r:id="rId9"/>
      <w:footerReference w:type="first" r:id="rId10"/>
      <w:pgSz w:w="11906" w:h="16838" w:orient="portrait"/>
      <w:pgMar w:top="1080" w:right="1080" w:bottom="100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PRO-BEC-001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PRO-BEC-001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color w:val="60686F"/>
        <w:sz w:val="14"/>
        <w:szCs w:val="14"/>
      </w:rPr>
      <w:t xml:space="preserve">[Company Logo]</w:t>
    </w:r>
    <w:r>
      <w:rPr>
        <w:color w:val="60686F"/>
        <w:sz w:val="14"/>
        <w:szCs w:val="14"/>
      </w:rPr>
      <w:t xml:space="preserve">   ·   </w:t>
    </w:r>
    <w:r>
      <w:rPr>
        <w:color w:val="60686F"/>
        <w:sz w:val="14"/>
        <w:szCs w:val="14"/>
      </w:rPr>
      <w:t xml:space="preserve">PRO-BEC-001</w:t>
    </w:r>
    <w:r>
      <w:rPr>
        <w:color w:val="60686F"/>
        <w:sz w:val="14"/>
        <w:szCs w:val="14"/>
      </w:rPr>
      <w:t xml:space="preserve">   ·   </w:t>
    </w:r>
    <w:r>
      <w:rPr>
        <w:color w:val="60686F"/>
        <w:sz w:val="14"/>
        <w:szCs w:val="14"/>
      </w:rPr>
      <w:t xml:space="preserve">Business Email Compromise Response Playbook</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Internal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i/>
        <w:iCs/>
        <w:color w:val="60686F"/>
        <w:sz w:val="14"/>
        <w:szCs w:val="14"/>
      </w:rPr>
      <w:t xml:space="preserve">This document and all information contained herein is the property of [Organization Name] and is intended for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A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GFooter">
    <w:name w:val="RG Footer"/>
    <w:basedOn w:val="Normal"/>
    <w:rPr>
      <w:rFonts w:ascii="Arial" w:cs="Arial" w:eastAsia="Arial" w:hAnsi="Arial"/>
      <w:color w:val="60686F"/>
      <w:sz w:val="14"/>
      <w:szCs w:val="14"/>
    </w:rPr>
  </w:style>
  <w:style w:type="paragraph" w:styleId="Heading1">
    <w:name w:val="Heading 1"/>
    <w:basedOn w:val="Normal"/>
    <w:next w:val="Normal"/>
    <w:qFormat/>
    <w:pPr>
      <w:outlineLvl w:val="0"/>
    </w:pPr>
    <w:rPr>
      <w:rFonts w:ascii="Arial" w:cs="Arial" w:eastAsia="Arial" w:hAnsi="Arial"/>
      <w:b/>
      <w:bCs/>
      <w:color w:val="15314B"/>
      <w:sz w:val="27"/>
      <w:szCs w:val="27"/>
    </w:rPr>
  </w:style>
  <w:style w:type="paragraph" w:styleId="Heading2">
    <w:name w:val="Heading 2"/>
    <w:basedOn w:val="Normal"/>
    <w:next w:val="Normal"/>
    <w:qFormat/>
    <w:pPr>
      <w:outlineLvl w:val="1"/>
    </w:pPr>
    <w:rPr>
      <w:rFonts w:ascii="Arial" w:cs="Arial" w:eastAsia="Arial" w:hAnsi="Arial"/>
      <w:b/>
      <w:bCs/>
      <w:color w:val="2E5C7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Email Compromise Response Playbook</dc:title>
  <dc:subject>PRO-BEC-001</dc:subject>
  <dc:creator>RootGuard Security</dc:creator>
  <dc:description>Business Email Compromise Response Playbook. The first hour after money is redirected or a mailbox is taken over. Free to use and to share.</dc:description>
  <cp:lastModifiedBy>RootGuard Security</cp:lastModifiedBy>
  <cp:revision>1</cp:revision>
  <dcterms:created xsi:type="dcterms:W3CDTF">2026-10-16T13:23:24.170Z</dcterms:created>
  <dcterms:modified xsi:type="dcterms:W3CDTF">2026-10-16T13:23:24.171Z</dcterms:modified>
</cp:coreProperties>
</file>

<file path=docProps/custom.xml><?xml version="1.0" encoding="utf-8"?>
<Properties xmlns="http://schemas.openxmlformats.org/officeDocument/2006/custom-properties" xmlns:vt="http://schemas.openxmlformats.org/officeDocument/2006/docPropsVTypes"/>
</file>