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6600"/>
        <w:tblBorders>
          <w:top w:val="none" w:color="auto" w:sz="0"/>
          <w:left w:val="none" w:color="auto" w:sz="0"/>
          <w:bottom w:val="none" w:color="auto" w:sz="0"/>
          <w:right w:val="none" w:color="auto" w:sz="0"/>
          <w:insideH w:val="none" w:color="auto" w:sz="0"/>
          <w:insideV w:val="none" w:color="auto" w:sz="0"/>
        </w:tblBorders>
      </w:tblPr>
      <w:tblGrid>
        <w:gridCol w:w="6600"/>
      </w:tblGrid>
      <w:tr>
        <w:tc>
          <w:tcPr>
            <w:tcW w:type="dxa" w:w="6600"/>
            <w:shd w:fill="15314B" w:color="auto" w:val="clear"/>
            <w:tcMar>
              <w:top w:type="dxa" w:w="500"/>
              <w:left w:type="dxa" w:w="360"/>
              <w:bottom w:type="dxa" w:w="420"/>
              <w:right w:type="dxa" w:w="360"/>
            </w:tcMar>
          </w:tcPr>
          <w:p>
            <w:pPr>
              <w:spacing w:after="420"/>
            </w:pPr>
            <w:r>
              <w:rPr>
                <w:color w:val="9DB0C0"/>
                <w:sz w:val="16"/>
                <w:szCs w:val="16"/>
              </w:rPr>
              <w:t xml:space="preserve">[Company Logo]</w:t>
            </w:r>
          </w:p>
          <w:p>
            <w:pPr>
              <w:spacing w:after="140"/>
            </w:pPr>
            <w:r>
              <w:rPr>
                <w:b/>
                <w:bCs/>
                <w:color w:val="FFFFFF"/>
                <w:sz w:val="46"/>
                <w:szCs w:val="46"/>
              </w:rPr>
              <w:t xml:space="preserve">Authentication Standard</w:t>
            </w:r>
          </w:p>
          <w:p>
            <w:pPr>
              <w:spacing w:after="300"/>
            </w:pPr>
            <w:r>
              <w:rPr>
                <w:color w:val="C6D4DF"/>
                <w:sz w:val="22"/>
                <w:szCs w:val="22"/>
              </w:rPr>
              <w:t xml:space="preserve">How every account proves who is signing in, and how that is proven</w:t>
            </w:r>
          </w:p>
          <w:p>
            <w:pPr>
              <w:pBdr>
                <w:bottom w:val="single" w:color="C2551D" w:sz="16" w:space="0"/>
              </w:pBdr>
              <w:spacing w:after="230"/>
            </w:pPr>
          </w:p>
          <w:p>
            <w:r>
              <w:rPr>
                <w:b/>
                <w:bCs/>
                <w:color w:val="FFFFFF"/>
              </w:rPr>
              <w:t xml:space="preserve">[Organization Name]</w:t>
            </w:r>
            <w:r>
              <w:t xml:space="preserve">          </w:t>
            </w:r>
            <w:r>
              <w:rPr>
                <w:color w:val="9DB0C0"/>
                <w:sz w:val="18"/>
                <w:szCs w:val="18"/>
              </w:rPr>
              <w:t xml:space="preserve">Classification: Internal Use</w:t>
            </w:r>
          </w:p>
        </w:tc>
      </w:tr>
    </w:tbl>
    <w:p>
      <w:pPr>
        <w:spacing w:after="420"/>
      </w:pPr>
    </w:p>
    <w:tbl>
      <w:tblPr>
        <w:tblW w:type="dxa" w:w="6600"/>
        <w:tblBorders>
          <w:top w:val="single" w:color="D4DAE0" w:sz="4"/>
          <w:left w:val="single" w:color="D4DAE0" w:sz="4"/>
          <w:bottom w:val="single" w:color="D4DAE0" w:sz="4"/>
          <w:right w:val="single" w:color="D4DAE0" w:sz="4"/>
          <w:insideH w:val="single" w:color="D4DAE0" w:sz="4"/>
          <w:insideV w:val="single" w:color="D4DAE0" w:sz="4"/>
        </w:tblBorders>
      </w:tblPr>
      <w:tblGrid>
        <w:gridCol w:w="1900"/>
        <w:gridCol w:w="4700"/>
      </w:tblGrid>
      <w:tr>
        <w:tc>
          <w:tcPr>
            <w:tcW w:type="dxa" w:w="1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7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Document ID</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STD-AUT-001</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title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Authentication Standard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Version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1.0</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Status</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[Draft / Approved]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Effective date</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owner</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[Owner Name, Role]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Approved by</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[Approver Name, Role]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Approval date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Next review</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[Date, no more than 12 months from 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Classification</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Internal Use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Distribution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[Who this is issued to]</w:t>
            </w:r>
          </w:p>
        </w:tc>
      </w:tr>
    </w:tbl>
    <w:p>
      <w:pPr>
        <w:pBdr>
          <w:top w:val="single" w:color="D4DAE0" w:sz="4" w:space="8"/>
        </w:pBdr>
        <w:spacing w:after="0" w:before="700" w:line="252"/>
      </w:pPr>
      <w:r>
        <w:rPr>
          <w:i/>
          <w:iCs/>
          <w:color w:val="60686F"/>
          <w:sz w:val="16"/>
          <w:szCs w:val="16"/>
        </w:rPr>
        <w:t xml:space="preserve">This document and all information contained in it is the property of [Organization Name]. Replace every bracketed field before issue, delete any clause that does not apply to your organization, and have it approved by a person with authority to do so. An unapproved, undated policy is not a control.</w:t>
      </w:r>
    </w:p>
    <w:p>
      <w:pPr>
        <w:pageBreakBefore/>
        <w:spacing w:after="160"/>
      </w:pPr>
      <w:r>
        <w:rPr>
          <w:b/>
          <w:bCs/>
          <w:color w:val="15314B"/>
          <w:sz w:val="27"/>
          <w:szCs w:val="27"/>
        </w:rPr>
        <w:t xml:space="preserve">Table of Contents</w:t>
      </w:r>
    </w:p>
    <w:p>
      <w:pPr>
        <w:pStyle w:val="TOC1"/>
        <w:tabs>
          <w:tab w:val="right" w:leader="dot" w:pos="9746"/>
        </w:tabs>
        <w:spacing w:after="12" w:line="240" w:lineRule="auto"/>
        <w:rPr>
          <w:noProof/>
        </w:rPr>
      </w:pPr>
      <w:r>
        <w:rPr>
          <w:noProof/>
        </w:rPr>
        <w:fldChar w:fldCharType="begin"/>
      </w:r>
      <w:r>
        <w:rPr>
          <w:noProof/>
        </w:rPr>
        <w:instrText xml:space="preserve"> TOC \o "1-2" \h \z \u </w:instrText>
      </w:r>
      <w:r>
        <w:rPr>
          <w:noProof/>
        </w:rPr>
        <w:fldChar w:fldCharType="separate"/>
      </w:r>
      <w:hyperlink w:anchor="_RG0001" w:history="1">
        <w:r>
          <w:rPr>
            <w:noProof/>
            <w:sz w:val="17"/>
          </w:rPr>
          <w:t xml:space="preserve">Executive summary</w:t>
        </w:r>
        <w:r>
          <w:rPr>
            <w:noProof/>
            <w:sz w:val="17"/>
          </w:rPr>
          <w:tab/>
        </w:r>
        <w:r>
          <w:rPr>
            <w:noProof/>
          </w:rPr>
          <w:fldChar w:fldCharType="begin"/>
        </w:r>
        <w:r>
          <w:rPr>
            <w:noProof/>
          </w:rPr>
          <w:instrText xml:space="preserve"> PAGEREF _RG0001 \h </w:instrText>
        </w:r>
        <w:r>
          <w:rPr>
            <w:noProof/>
          </w:rPr>
          <w:fldChar w:fldCharType="separate"/>
        </w:r>
        <w:r>
          <w:rPr>
            <w:noProof/>
            <w:sz w:val="17"/>
          </w:rPr>
          <w:t>3</w:t>
        </w:r>
        <w:r>
          <w:rPr>
            <w:noProof/>
          </w:rPr>
          <w:fldChar w:fldCharType="end"/>
        </w:r>
      </w:hyperlink>
    </w:p>
    <w:p>
      <w:pPr>
        <w:pStyle w:val="TOC1"/>
        <w:tabs>
          <w:tab w:val="right" w:leader="dot" w:pos="9746"/>
        </w:tabs>
        <w:spacing w:after="12" w:line="240" w:lineRule="auto"/>
        <w:rPr>
          <w:noProof/>
        </w:rPr>
      </w:pPr>
      <w:hyperlink w:anchor="_RG0002" w:history="1">
        <w:r>
          <w:rPr>
            <w:noProof/>
            <w:sz w:val="17"/>
          </w:rPr>
          <w:t xml:space="preserve">1.  Purpose and scope</w:t>
        </w:r>
        <w:r>
          <w:rPr>
            <w:noProof/>
            <w:sz w:val="17"/>
          </w:rPr>
          <w:tab/>
        </w:r>
        <w:r>
          <w:rPr>
            <w:noProof/>
          </w:rPr>
          <w:fldChar w:fldCharType="begin"/>
        </w:r>
        <w:r>
          <w:rPr>
            <w:noProof/>
          </w:rPr>
          <w:instrText xml:space="preserve"> PAGEREF _RG0002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3" w:history="1">
        <w:r>
          <w:rPr>
            <w:noProof/>
            <w:sz w:val="17"/>
          </w:rPr>
          <w:t xml:space="preserve">1.1  Accounts in scope</w:t>
        </w:r>
        <w:r>
          <w:rPr>
            <w:noProof/>
            <w:sz w:val="17"/>
          </w:rPr>
          <w:tab/>
        </w:r>
        <w:r>
          <w:rPr>
            <w:noProof/>
          </w:rPr>
          <w:fldChar w:fldCharType="begin"/>
        </w:r>
        <w:r>
          <w:rPr>
            <w:noProof/>
          </w:rPr>
          <w:instrText xml:space="preserve"> PAGEREF _RG0003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4" w:history="1">
        <w:r>
          <w:rPr>
            <w:noProof/>
            <w:sz w:val="17"/>
          </w:rPr>
          <w:t xml:space="preserve">1.2  Systems in scope</w:t>
        </w:r>
        <w:r>
          <w:rPr>
            <w:noProof/>
            <w:sz w:val="17"/>
          </w:rPr>
          <w:tab/>
        </w:r>
        <w:r>
          <w:rPr>
            <w:noProof/>
          </w:rPr>
          <w:fldChar w:fldCharType="begin"/>
        </w:r>
        <w:r>
          <w:rPr>
            <w:noProof/>
          </w:rPr>
          <w:instrText xml:space="preserve"> PAGEREF _RG0004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5" w:history="1">
        <w:r>
          <w:rPr>
            <w:noProof/>
            <w:sz w:val="17"/>
          </w:rPr>
          <w:t xml:space="preserve">1.3  Relationship to other documents</w:t>
        </w:r>
        <w:r>
          <w:rPr>
            <w:noProof/>
            <w:sz w:val="17"/>
          </w:rPr>
          <w:tab/>
        </w:r>
        <w:r>
          <w:rPr>
            <w:noProof/>
          </w:rPr>
          <w:fldChar w:fldCharType="begin"/>
        </w:r>
        <w:r>
          <w:rPr>
            <w:noProof/>
          </w:rPr>
          <w:instrText xml:space="preserve"> PAGEREF _RG0005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6" w:history="1">
        <w:r>
          <w:rPr>
            <w:noProof/>
            <w:sz w:val="17"/>
          </w:rPr>
          <w:t xml:space="preserve">2.  Principles</w:t>
        </w:r>
        <w:r>
          <w:rPr>
            <w:noProof/>
            <w:sz w:val="17"/>
          </w:rPr>
          <w:tab/>
        </w:r>
        <w:r>
          <w:rPr>
            <w:noProof/>
          </w:rPr>
          <w:fldChar w:fldCharType="begin"/>
        </w:r>
        <w:r>
          <w:rPr>
            <w:noProof/>
          </w:rPr>
          <w:instrText xml:space="preserve"> PAGEREF _RG0006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7" w:history="1">
        <w:r>
          <w:rPr>
            <w:noProof/>
            <w:sz w:val="17"/>
          </w:rPr>
          <w:t xml:space="preserve">3.  Roles and responsibilities</w:t>
        </w:r>
        <w:r>
          <w:rPr>
            <w:noProof/>
            <w:sz w:val="17"/>
          </w:rPr>
          <w:tab/>
        </w:r>
        <w:r>
          <w:rPr>
            <w:noProof/>
          </w:rPr>
          <w:fldChar w:fldCharType="begin"/>
        </w:r>
        <w:r>
          <w:rPr>
            <w:noProof/>
          </w:rPr>
          <w:instrText xml:space="preserve"> PAGEREF _RG0007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8" w:history="1">
        <w:r>
          <w:rPr>
            <w:noProof/>
            <w:sz w:val="17"/>
          </w:rPr>
          <w:t xml:space="preserve">4.  Account inventory and coverage reconciliation</w:t>
        </w:r>
        <w:r>
          <w:rPr>
            <w:noProof/>
            <w:sz w:val="17"/>
          </w:rPr>
          <w:tab/>
        </w:r>
        <w:r>
          <w:rPr>
            <w:noProof/>
          </w:rPr>
          <w:fldChar w:fldCharType="begin"/>
        </w:r>
        <w:r>
          <w:rPr>
            <w:noProof/>
          </w:rPr>
          <w:instrText xml:space="preserve"> PAGEREF _RG0008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09" w:history="1">
        <w:r>
          <w:rPr>
            <w:noProof/>
            <w:sz w:val="17"/>
          </w:rPr>
          <w:t xml:space="preserve">4.1  The inventory</w:t>
        </w:r>
        <w:r>
          <w:rPr>
            <w:noProof/>
            <w:sz w:val="17"/>
          </w:rPr>
          <w:tab/>
        </w:r>
        <w:r>
          <w:rPr>
            <w:noProof/>
          </w:rPr>
          <w:fldChar w:fldCharType="begin"/>
        </w:r>
        <w:r>
          <w:rPr>
            <w:noProof/>
          </w:rPr>
          <w:instrText xml:space="preserve"> PAGEREF _RG0009 \h </w:instrText>
        </w:r>
        <w:r>
          <w:rPr>
            <w:noProof/>
          </w:rPr>
          <w:fldChar w:fldCharType="separate"/>
        </w:r>
        <w:r>
          <w:rPr>
            <w:noProof/>
            <w:sz w:val="17"/>
          </w:rPr>
          <w:t>6</w:t>
        </w:r>
        <w:r>
          <w:rPr>
            <w:noProof/>
          </w:rPr>
          <w:fldChar w:fldCharType="end"/>
        </w:r>
      </w:hyperlink>
    </w:p>
    <w:p>
      <w:pPr>
        <w:pStyle w:val="TOC2"/>
        <w:tabs>
          <w:tab w:val="right" w:leader="dot" w:pos="9746"/>
        </w:tabs>
        <w:spacing w:after="12" w:line="240" w:lineRule="auto"/>
        <w:ind w:left="220"/>
        <w:rPr>
          <w:noProof/>
        </w:rPr>
      </w:pPr>
      <w:hyperlink w:anchor="_RG0010" w:history="1">
        <w:r>
          <w:rPr>
            <w:noProof/>
            <w:sz w:val="17"/>
          </w:rPr>
          <w:t xml:space="preserve">4.2  Monthly reconciliation</w:t>
        </w:r>
        <w:r>
          <w:rPr>
            <w:noProof/>
            <w:sz w:val="17"/>
          </w:rPr>
          <w:tab/>
        </w:r>
        <w:r>
          <w:rPr>
            <w:noProof/>
          </w:rPr>
          <w:fldChar w:fldCharType="begin"/>
        </w:r>
        <w:r>
          <w:rPr>
            <w:noProof/>
          </w:rPr>
          <w:instrText xml:space="preserve"> PAGEREF _RG0010 \h </w:instrText>
        </w:r>
        <w:r>
          <w:rPr>
            <w:noProof/>
          </w:rPr>
          <w:fldChar w:fldCharType="separate"/>
        </w:r>
        <w:r>
          <w:rPr>
            <w:noProof/>
            <w:sz w:val="17"/>
          </w:rPr>
          <w:t>6</w:t>
        </w:r>
        <w:r>
          <w:rPr>
            <w:noProof/>
          </w:rPr>
          <w:fldChar w:fldCharType="end"/>
        </w:r>
      </w:hyperlink>
    </w:p>
    <w:p>
      <w:pPr>
        <w:pStyle w:val="TOC1"/>
        <w:tabs>
          <w:tab w:val="right" w:leader="dot" w:pos="9746"/>
        </w:tabs>
        <w:spacing w:after="12" w:line="240" w:lineRule="auto"/>
        <w:rPr>
          <w:noProof/>
        </w:rPr>
      </w:pPr>
      <w:hyperlink w:anchor="_RG0011" w:history="1">
        <w:r>
          <w:rPr>
            <w:noProof/>
            <w:sz w:val="17"/>
          </w:rPr>
          <w:t xml:space="preserve">5.  Authenticator types and permitted use</w:t>
        </w:r>
        <w:r>
          <w:rPr>
            <w:noProof/>
            <w:sz w:val="17"/>
          </w:rPr>
          <w:tab/>
        </w:r>
        <w:r>
          <w:rPr>
            <w:noProof/>
          </w:rPr>
          <w:fldChar w:fldCharType="begin"/>
        </w:r>
        <w:r>
          <w:rPr>
            <w:noProof/>
          </w:rPr>
          <w:instrText xml:space="preserve"> PAGEREF _RG0011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2" w:history="1">
        <w:r>
          <w:rPr>
            <w:noProof/>
            <w:sz w:val="17"/>
          </w:rPr>
          <w:t xml:space="preserve">5.1  Ranking</w:t>
        </w:r>
        <w:r>
          <w:rPr>
            <w:noProof/>
            <w:sz w:val="17"/>
          </w:rPr>
          <w:tab/>
        </w:r>
        <w:r>
          <w:rPr>
            <w:noProof/>
          </w:rPr>
          <w:fldChar w:fldCharType="begin"/>
        </w:r>
        <w:r>
          <w:rPr>
            <w:noProof/>
          </w:rPr>
          <w:instrText xml:space="preserve"> PAGEREF _RG0012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3" w:history="1">
        <w:r>
          <w:rPr>
            <w:noProof/>
            <w:sz w:val="17"/>
          </w:rPr>
          <w:t xml:space="preserve">5.2  Registration of authenticators</w:t>
        </w:r>
        <w:r>
          <w:rPr>
            <w:noProof/>
            <w:sz w:val="17"/>
          </w:rPr>
          <w:tab/>
        </w:r>
        <w:r>
          <w:rPr>
            <w:noProof/>
          </w:rPr>
          <w:fldChar w:fldCharType="begin"/>
        </w:r>
        <w:r>
          <w:rPr>
            <w:noProof/>
          </w:rPr>
          <w:instrText xml:space="preserve"> PAGEREF _RG0013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4" w:history="1">
        <w:r>
          <w:rPr>
            <w:noProof/>
            <w:sz w:val="17"/>
          </w:rPr>
          <w:t xml:space="preserve">5.3  SMS and voice as a restricted fallback</w:t>
        </w:r>
        <w:r>
          <w:rPr>
            <w:noProof/>
            <w:sz w:val="17"/>
          </w:rPr>
          <w:tab/>
        </w:r>
        <w:r>
          <w:rPr>
            <w:noProof/>
          </w:rPr>
          <w:fldChar w:fldCharType="begin"/>
        </w:r>
        <w:r>
          <w:rPr>
            <w:noProof/>
          </w:rPr>
          <w:instrText xml:space="preserve"> PAGEREF _RG0014 \h </w:instrText>
        </w:r>
        <w:r>
          <w:rPr>
            <w:noProof/>
          </w:rPr>
          <w:fldChar w:fldCharType="separate"/>
        </w:r>
        <w:r>
          <w:rPr>
            <w:noProof/>
            <w:sz w:val="17"/>
          </w:rPr>
          <w:t>8</w:t>
        </w:r>
        <w:r>
          <w:rPr>
            <w:noProof/>
          </w:rPr>
          <w:fldChar w:fldCharType="end"/>
        </w:r>
      </w:hyperlink>
    </w:p>
    <w:p>
      <w:pPr>
        <w:pStyle w:val="TOC1"/>
        <w:tabs>
          <w:tab w:val="right" w:leader="dot" w:pos="9746"/>
        </w:tabs>
        <w:spacing w:after="12" w:line="240" w:lineRule="auto"/>
        <w:rPr>
          <w:noProof/>
        </w:rPr>
      </w:pPr>
      <w:hyperlink w:anchor="_RG0015" w:history="1">
        <w:r>
          <w:rPr>
            <w:noProof/>
            <w:sz w:val="17"/>
          </w:rPr>
          <w:t xml:space="preserve">6.  Requirements by account type</w:t>
        </w:r>
        <w:r>
          <w:rPr>
            <w:noProof/>
            <w:sz w:val="17"/>
          </w:rPr>
          <w:tab/>
        </w:r>
        <w:r>
          <w:rPr>
            <w:noProof/>
          </w:rPr>
          <w:fldChar w:fldCharType="begin"/>
        </w:r>
        <w:r>
          <w:rPr>
            <w:noProof/>
          </w:rPr>
          <w:instrText xml:space="preserve"> PAGEREF _RG0015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6" w:history="1">
        <w:r>
          <w:rPr>
            <w:noProof/>
            <w:sz w:val="17"/>
          </w:rPr>
          <w:t xml:space="preserve">6.1  Workforce accounts</w:t>
        </w:r>
        <w:r>
          <w:rPr>
            <w:noProof/>
            <w:sz w:val="17"/>
          </w:rPr>
          <w:tab/>
        </w:r>
        <w:r>
          <w:rPr>
            <w:noProof/>
          </w:rPr>
          <w:fldChar w:fldCharType="begin"/>
        </w:r>
        <w:r>
          <w:rPr>
            <w:noProof/>
          </w:rPr>
          <w:instrText xml:space="preserve"> PAGEREF _RG0016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7" w:history="1">
        <w:r>
          <w:rPr>
            <w:noProof/>
            <w:sz w:val="17"/>
          </w:rPr>
          <w:t xml:space="preserve">6.2  Privileged accounts</w:t>
        </w:r>
        <w:r>
          <w:rPr>
            <w:noProof/>
            <w:sz w:val="17"/>
          </w:rPr>
          <w:tab/>
        </w:r>
        <w:r>
          <w:rPr>
            <w:noProof/>
          </w:rPr>
          <w:fldChar w:fldCharType="begin"/>
        </w:r>
        <w:r>
          <w:rPr>
            <w:noProof/>
          </w:rPr>
          <w:instrText xml:space="preserve"> PAGEREF _RG0017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8" w:history="1">
        <w:r>
          <w:rPr>
            <w:noProof/>
            <w:sz w:val="17"/>
          </w:rPr>
          <w:t xml:space="preserve">6.3  Guest, external and third-party accounts</w:t>
        </w:r>
        <w:r>
          <w:rPr>
            <w:noProof/>
            <w:sz w:val="17"/>
          </w:rPr>
          <w:tab/>
        </w:r>
        <w:r>
          <w:rPr>
            <w:noProof/>
          </w:rPr>
          <w:fldChar w:fldCharType="begin"/>
        </w:r>
        <w:r>
          <w:rPr>
            <w:noProof/>
          </w:rPr>
          <w:instrText xml:space="preserve"> PAGEREF _RG0018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9" w:history="1">
        <w:r>
          <w:rPr>
            <w:noProof/>
            <w:sz w:val="17"/>
          </w:rPr>
          <w:t xml:space="preserve">6.4  Systems that authenticate on their own</w:t>
        </w:r>
        <w:r>
          <w:rPr>
            <w:noProof/>
            <w:sz w:val="17"/>
          </w:rPr>
          <w:tab/>
        </w:r>
        <w:r>
          <w:rPr>
            <w:noProof/>
          </w:rPr>
          <w:fldChar w:fldCharType="begin"/>
        </w:r>
        <w:r>
          <w:rPr>
            <w:noProof/>
          </w:rPr>
          <w:instrText xml:space="preserve"> PAGEREF _RG0019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20" w:history="1">
        <w:r>
          <w:rPr>
            <w:noProof/>
            <w:sz w:val="17"/>
          </w:rPr>
          <w:t xml:space="preserve">7.  Enforcement, not registration</w:t>
        </w:r>
        <w:r>
          <w:rPr>
            <w:noProof/>
            <w:sz w:val="17"/>
          </w:rPr>
          <w:tab/>
        </w:r>
        <w:r>
          <w:rPr>
            <w:noProof/>
          </w:rPr>
          <w:fldChar w:fldCharType="begin"/>
        </w:r>
        <w:r>
          <w:rPr>
            <w:noProof/>
          </w:rPr>
          <w:instrText xml:space="preserve"> PAGEREF _RG0020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1" w:history="1">
        <w:r>
          <w:rPr>
            <w:noProof/>
            <w:sz w:val="17"/>
          </w:rPr>
          <w:t xml:space="preserve">7.1  Policy-based enforcement</w:t>
        </w:r>
        <w:r>
          <w:rPr>
            <w:noProof/>
            <w:sz w:val="17"/>
          </w:rPr>
          <w:tab/>
        </w:r>
        <w:r>
          <w:rPr>
            <w:noProof/>
          </w:rPr>
          <w:fldChar w:fldCharType="begin"/>
        </w:r>
        <w:r>
          <w:rPr>
            <w:noProof/>
          </w:rPr>
          <w:instrText xml:space="preserve"> PAGEREF _RG0021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2" w:history="1">
        <w:r>
          <w:rPr>
            <w:noProof/>
            <w:sz w:val="17"/>
          </w:rPr>
          <w:t xml:space="preserve">7.2  Report-only and disabled policies</w:t>
        </w:r>
        <w:r>
          <w:rPr>
            <w:noProof/>
            <w:sz w:val="17"/>
          </w:rPr>
          <w:tab/>
        </w:r>
        <w:r>
          <w:rPr>
            <w:noProof/>
          </w:rPr>
          <w:fldChar w:fldCharType="begin"/>
        </w:r>
        <w:r>
          <w:rPr>
            <w:noProof/>
          </w:rPr>
          <w:instrText xml:space="preserve"> PAGEREF _RG0022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3" w:history="1">
        <w:r>
          <w:rPr>
            <w:noProof/>
            <w:sz w:val="17"/>
          </w:rPr>
          <w:t xml:space="preserve">7.3  Legacy authentication</w:t>
        </w:r>
        <w:r>
          <w:rPr>
            <w:noProof/>
            <w:sz w:val="17"/>
          </w:rPr>
          <w:tab/>
        </w:r>
        <w:r>
          <w:rPr>
            <w:noProof/>
          </w:rPr>
          <w:fldChar w:fldCharType="begin"/>
        </w:r>
        <w:r>
          <w:rPr>
            <w:noProof/>
          </w:rPr>
          <w:instrText xml:space="preserve"> PAGEREF _RG0023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24" w:history="1">
        <w:r>
          <w:rPr>
            <w:noProof/>
            <w:sz w:val="17"/>
          </w:rPr>
          <w:t xml:space="preserve">7.4  Exclusions</w:t>
        </w:r>
        <w:r>
          <w:rPr>
            <w:noProof/>
            <w:sz w:val="17"/>
          </w:rPr>
          <w:tab/>
        </w:r>
        <w:r>
          <w:rPr>
            <w:noProof/>
          </w:rPr>
          <w:fldChar w:fldCharType="begin"/>
        </w:r>
        <w:r>
          <w:rPr>
            <w:noProof/>
          </w:rPr>
          <w:instrText xml:space="preserve"> PAGEREF _RG0024 \h </w:instrText>
        </w:r>
        <w:r>
          <w:rPr>
            <w:noProof/>
          </w:rPr>
          <w:fldChar w:fldCharType="separate"/>
        </w:r>
        <w:r>
          <w:rPr>
            <w:noProof/>
            <w:sz w:val="17"/>
          </w:rPr>
          <w:t>11</w:t>
        </w:r>
        <w:r>
          <w:rPr>
            <w:noProof/>
          </w:rPr>
          <w:fldChar w:fldCharType="end"/>
        </w:r>
      </w:hyperlink>
    </w:p>
    <w:p>
      <w:pPr>
        <w:pStyle w:val="TOC1"/>
        <w:tabs>
          <w:tab w:val="right" w:leader="dot" w:pos="9746"/>
        </w:tabs>
        <w:spacing w:after="12" w:line="240" w:lineRule="auto"/>
        <w:rPr>
          <w:noProof/>
        </w:rPr>
      </w:pPr>
      <w:hyperlink w:anchor="_RG0025" w:history="1">
        <w:r>
          <w:rPr>
            <w:noProof/>
            <w:sz w:val="17"/>
          </w:rPr>
          <w:t xml:space="preserve">8.  Emergency access accounts</w:t>
        </w:r>
        <w:r>
          <w:rPr>
            <w:noProof/>
            <w:sz w:val="17"/>
          </w:rPr>
          <w:tab/>
        </w:r>
        <w:r>
          <w:rPr>
            <w:noProof/>
          </w:rPr>
          <w:fldChar w:fldCharType="begin"/>
        </w:r>
        <w:r>
          <w:rPr>
            <w:noProof/>
          </w:rPr>
          <w:instrText xml:space="preserve"> PAGEREF _RG0025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6" w:history="1">
        <w:r>
          <w:rPr>
            <w:noProof/>
            <w:sz w:val="17"/>
          </w:rPr>
          <w:t xml:space="preserve">8.1  Requirements</w:t>
        </w:r>
        <w:r>
          <w:rPr>
            <w:noProof/>
            <w:sz w:val="17"/>
          </w:rPr>
          <w:tab/>
        </w:r>
        <w:r>
          <w:rPr>
            <w:noProof/>
          </w:rPr>
          <w:fldChar w:fldCharType="begin"/>
        </w:r>
        <w:r>
          <w:rPr>
            <w:noProof/>
          </w:rPr>
          <w:instrText xml:space="preserve"> PAGEREF _RG0026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27" w:history="1">
        <w:r>
          <w:rPr>
            <w:noProof/>
            <w:sz w:val="17"/>
          </w:rPr>
          <w:t xml:space="preserve">8.2  Monitoring</w:t>
        </w:r>
        <w:r>
          <w:rPr>
            <w:noProof/>
            <w:sz w:val="17"/>
          </w:rPr>
          <w:tab/>
        </w:r>
        <w:r>
          <w:rPr>
            <w:noProof/>
          </w:rPr>
          <w:fldChar w:fldCharType="begin"/>
        </w:r>
        <w:r>
          <w:rPr>
            <w:noProof/>
          </w:rPr>
          <w:instrText xml:space="preserve"> PAGEREF _RG0027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8" w:history="1">
        <w:r>
          <w:rPr>
            <w:noProof/>
            <w:sz w:val="17"/>
          </w:rPr>
          <w:t xml:space="preserve">8.3  Testing</w:t>
        </w:r>
        <w:r>
          <w:rPr>
            <w:noProof/>
            <w:sz w:val="17"/>
          </w:rPr>
          <w:tab/>
        </w:r>
        <w:r>
          <w:rPr>
            <w:noProof/>
          </w:rPr>
          <w:fldChar w:fldCharType="begin"/>
        </w:r>
        <w:r>
          <w:rPr>
            <w:noProof/>
          </w:rPr>
          <w:instrText xml:space="preserve"> PAGEREF _RG0028 \h </w:instrText>
        </w:r>
        <w:r>
          <w:rPr>
            <w:noProof/>
          </w:rPr>
          <w:fldChar w:fldCharType="separate"/>
        </w:r>
        <w:r>
          <w:rPr>
            <w:noProof/>
            <w:sz w:val="17"/>
          </w:rPr>
          <w:t>12</w:t>
        </w:r>
        <w:r>
          <w:rPr>
            <w:noProof/>
          </w:rPr>
          <w:fldChar w:fldCharType="end"/>
        </w:r>
      </w:hyperlink>
    </w:p>
    <w:p>
      <w:pPr>
        <w:pStyle w:val="TOC1"/>
        <w:tabs>
          <w:tab w:val="right" w:leader="dot" w:pos="9746"/>
        </w:tabs>
        <w:spacing w:after="12" w:line="240" w:lineRule="auto"/>
        <w:rPr>
          <w:noProof/>
        </w:rPr>
      </w:pPr>
      <w:hyperlink w:anchor="_RG0029" w:history="1">
        <w:r>
          <w:rPr>
            <w:noProof/>
            <w:sz w:val="17"/>
          </w:rPr>
          <w:t xml:space="preserve">9.  Service accounts and non-interactive identities</w:t>
        </w:r>
        <w:r>
          <w:rPr>
            <w:noProof/>
            <w:sz w:val="17"/>
          </w:rPr>
          <w:tab/>
        </w:r>
        <w:r>
          <w:rPr>
            <w:noProof/>
          </w:rPr>
          <w:fldChar w:fldCharType="begin"/>
        </w:r>
        <w:r>
          <w:rPr>
            <w:noProof/>
          </w:rPr>
          <w:instrText xml:space="preserve"> PAGEREF _RG0029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30" w:history="1">
        <w:r>
          <w:rPr>
            <w:noProof/>
            <w:sz w:val="17"/>
          </w:rPr>
          <w:t xml:space="preserve">9.1  Requirements</w:t>
        </w:r>
        <w:r>
          <w:rPr>
            <w:noProof/>
            <w:sz w:val="17"/>
          </w:rPr>
          <w:tab/>
        </w:r>
        <w:r>
          <w:rPr>
            <w:noProof/>
          </w:rPr>
          <w:fldChar w:fldCharType="begin"/>
        </w:r>
        <w:r>
          <w:rPr>
            <w:noProof/>
          </w:rPr>
          <w:instrText xml:space="preserve"> PAGEREF _RG0030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31" w:history="1">
        <w:r>
          <w:rPr>
            <w:noProof/>
            <w:sz w:val="17"/>
          </w:rPr>
          <w:t xml:space="preserve">9.2  Credential lifetime and rotation</w:t>
        </w:r>
        <w:r>
          <w:rPr>
            <w:noProof/>
            <w:sz w:val="17"/>
          </w:rPr>
          <w:tab/>
        </w:r>
        <w:r>
          <w:rPr>
            <w:noProof/>
          </w:rPr>
          <w:fldChar w:fldCharType="begin"/>
        </w:r>
        <w:r>
          <w:rPr>
            <w:noProof/>
          </w:rPr>
          <w:instrText xml:space="preserve"> PAGEREF _RG0031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32" w:history="1">
        <w:r>
          <w:rPr>
            <w:noProof/>
            <w:sz w:val="17"/>
          </w:rPr>
          <w:t xml:space="preserve">9.3  Monitoring of non-interactive identities</w:t>
        </w:r>
        <w:r>
          <w:rPr>
            <w:noProof/>
            <w:sz w:val="17"/>
          </w:rPr>
          <w:tab/>
        </w:r>
        <w:r>
          <w:rPr>
            <w:noProof/>
          </w:rPr>
          <w:fldChar w:fldCharType="begin"/>
        </w:r>
        <w:r>
          <w:rPr>
            <w:noProof/>
          </w:rPr>
          <w:instrText xml:space="preserve"> PAGEREF _RG0032 \h </w:instrText>
        </w:r>
        <w:r>
          <w:rPr>
            <w:noProof/>
          </w:rPr>
          <w:fldChar w:fldCharType="separate"/>
        </w:r>
        <w:r>
          <w:rPr>
            <w:noProof/>
            <w:sz w:val="17"/>
          </w:rPr>
          <w:t>13</w:t>
        </w:r>
        <w:r>
          <w:rPr>
            <w:noProof/>
          </w:rPr>
          <w:fldChar w:fldCharType="end"/>
        </w:r>
      </w:hyperlink>
    </w:p>
    <w:p>
      <w:pPr>
        <w:pStyle w:val="TOC1"/>
        <w:tabs>
          <w:tab w:val="right" w:leader="dot" w:pos="9746"/>
        </w:tabs>
        <w:spacing w:after="12" w:line="240" w:lineRule="auto"/>
        <w:rPr>
          <w:noProof/>
        </w:rPr>
      </w:pPr>
      <w:hyperlink w:anchor="_RG0033" w:history="1">
        <w:r>
          <w:rPr>
            <w:noProof/>
            <w:sz w:val="17"/>
          </w:rPr>
          <w:t xml:space="preserve">10.  Password requirements</w:t>
        </w:r>
        <w:r>
          <w:rPr>
            <w:noProof/>
            <w:sz w:val="17"/>
          </w:rPr>
          <w:tab/>
        </w:r>
        <w:r>
          <w:rPr>
            <w:noProof/>
          </w:rPr>
          <w:fldChar w:fldCharType="begin"/>
        </w:r>
        <w:r>
          <w:rPr>
            <w:noProof/>
          </w:rPr>
          <w:instrText xml:space="preserve"> PAGEREF _RG0033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34" w:history="1">
        <w:r>
          <w:rPr>
            <w:noProof/>
            <w:sz w:val="17"/>
          </w:rPr>
          <w:t xml:space="preserve">10.1  Operational rules</w:t>
        </w:r>
        <w:r>
          <w:rPr>
            <w:noProof/>
            <w:sz w:val="17"/>
          </w:rPr>
          <w:tab/>
        </w:r>
        <w:r>
          <w:rPr>
            <w:noProof/>
          </w:rPr>
          <w:fldChar w:fldCharType="begin"/>
        </w:r>
        <w:r>
          <w:rPr>
            <w:noProof/>
          </w:rPr>
          <w:instrText xml:space="preserve"> PAGEREF _RG0034 \h </w:instrText>
        </w:r>
        <w:r>
          <w:rPr>
            <w:noProof/>
          </w:rPr>
          <w:fldChar w:fldCharType="separate"/>
        </w:r>
        <w:r>
          <w:rPr>
            <w:noProof/>
            <w:sz w:val="17"/>
          </w:rPr>
          <w:t>14</w:t>
        </w:r>
        <w:r>
          <w:rPr>
            <w:noProof/>
          </w:rPr>
          <w:fldChar w:fldCharType="end"/>
        </w:r>
      </w:hyperlink>
    </w:p>
    <w:p>
      <w:pPr>
        <w:pStyle w:val="TOC1"/>
        <w:tabs>
          <w:tab w:val="right" w:leader="dot" w:pos="9746"/>
        </w:tabs>
        <w:spacing w:after="12" w:line="240" w:lineRule="auto"/>
        <w:rPr>
          <w:noProof/>
        </w:rPr>
      </w:pPr>
      <w:hyperlink w:anchor="_RG0035" w:history="1">
        <w:r>
          <w:rPr>
            <w:noProof/>
            <w:sz w:val="17"/>
          </w:rPr>
          <w:t xml:space="preserve">11.  Push fatigue and approval abuse</w:t>
        </w:r>
        <w:r>
          <w:rPr>
            <w:noProof/>
            <w:sz w:val="17"/>
          </w:rPr>
          <w:tab/>
        </w:r>
        <w:r>
          <w:rPr>
            <w:noProof/>
          </w:rPr>
          <w:fldChar w:fldCharType="begin"/>
        </w:r>
        <w:r>
          <w:rPr>
            <w:noProof/>
          </w:rPr>
          <w:instrText xml:space="preserve"> PAGEREF _RG0035 \h </w:instrText>
        </w:r>
        <w:r>
          <w:rPr>
            <w:noProof/>
          </w:rPr>
          <w:fldChar w:fldCharType="separate"/>
        </w:r>
        <w:r>
          <w:rPr>
            <w:noProof/>
            <w:sz w:val="17"/>
          </w:rPr>
          <w:t>14</w:t>
        </w:r>
        <w:r>
          <w:rPr>
            <w:noProof/>
          </w:rPr>
          <w:fldChar w:fldCharType="end"/>
        </w:r>
      </w:hyperlink>
    </w:p>
    <w:p>
      <w:pPr>
        <w:pStyle w:val="TOC1"/>
        <w:tabs>
          <w:tab w:val="right" w:leader="dot" w:pos="9746"/>
        </w:tabs>
        <w:spacing w:after="12" w:line="240" w:lineRule="auto"/>
        <w:rPr>
          <w:noProof/>
        </w:rPr>
      </w:pPr>
      <w:hyperlink w:anchor="_RG0036" w:history="1">
        <w:r>
          <w:rPr>
            <w:noProof/>
            <w:sz w:val="17"/>
          </w:rPr>
          <w:t xml:space="preserve">12.  Session lifetime and re-authentication</w:t>
        </w:r>
        <w:r>
          <w:rPr>
            <w:noProof/>
            <w:sz w:val="17"/>
          </w:rPr>
          <w:tab/>
        </w:r>
        <w:r>
          <w:rPr>
            <w:noProof/>
          </w:rPr>
          <w:fldChar w:fldCharType="begin"/>
        </w:r>
        <w:r>
          <w:rPr>
            <w:noProof/>
          </w:rPr>
          <w:instrText xml:space="preserve"> PAGEREF _RG0036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7" w:history="1">
        <w:r>
          <w:rPr>
            <w:noProof/>
            <w:sz w:val="17"/>
          </w:rPr>
          <w:t xml:space="preserve">12.1  Re-authentication for sensitive actions</w:t>
        </w:r>
        <w:r>
          <w:rPr>
            <w:noProof/>
            <w:sz w:val="17"/>
          </w:rPr>
          <w:tab/>
        </w:r>
        <w:r>
          <w:rPr>
            <w:noProof/>
          </w:rPr>
          <w:fldChar w:fldCharType="begin"/>
        </w:r>
        <w:r>
          <w:rPr>
            <w:noProof/>
          </w:rPr>
          <w:instrText xml:space="preserve"> PAGEREF _RG0037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8" w:history="1">
        <w:r>
          <w:rPr>
            <w:noProof/>
            <w:sz w:val="17"/>
          </w:rPr>
          <w:t xml:space="preserve">12.2  Session revocation</w:t>
        </w:r>
        <w:r>
          <w:rPr>
            <w:noProof/>
            <w:sz w:val="17"/>
          </w:rPr>
          <w:tab/>
        </w:r>
        <w:r>
          <w:rPr>
            <w:noProof/>
          </w:rPr>
          <w:fldChar w:fldCharType="begin"/>
        </w:r>
        <w:r>
          <w:rPr>
            <w:noProof/>
          </w:rPr>
          <w:instrText xml:space="preserve"> PAGEREF _RG0038 \h </w:instrText>
        </w:r>
        <w:r>
          <w:rPr>
            <w:noProof/>
          </w:rPr>
          <w:fldChar w:fldCharType="separate"/>
        </w:r>
        <w:r>
          <w:rPr>
            <w:noProof/>
            <w:sz w:val="17"/>
          </w:rPr>
          <w:t>15</w:t>
        </w:r>
        <w:r>
          <w:rPr>
            <w:noProof/>
          </w:rPr>
          <w:fldChar w:fldCharType="end"/>
        </w:r>
      </w:hyperlink>
    </w:p>
    <w:p>
      <w:pPr>
        <w:pStyle w:val="TOC1"/>
        <w:tabs>
          <w:tab w:val="right" w:leader="dot" w:pos="9746"/>
        </w:tabs>
        <w:spacing w:after="12" w:line="240" w:lineRule="auto"/>
        <w:rPr>
          <w:noProof/>
        </w:rPr>
      </w:pPr>
      <w:hyperlink w:anchor="_RG0039" w:history="1">
        <w:r>
          <w:rPr>
            <w:noProof/>
            <w:sz w:val="17"/>
          </w:rPr>
          <w:t xml:space="preserve">13.  Device and location conditions</w:t>
        </w:r>
        <w:r>
          <w:rPr>
            <w:noProof/>
            <w:sz w:val="17"/>
          </w:rPr>
          <w:tab/>
        </w:r>
        <w:r>
          <w:rPr>
            <w:noProof/>
          </w:rPr>
          <w:fldChar w:fldCharType="begin"/>
        </w:r>
        <w:r>
          <w:rPr>
            <w:noProof/>
          </w:rPr>
          <w:instrText xml:space="preserve"> PAGEREF _RG0039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40" w:history="1">
        <w:r>
          <w:rPr>
            <w:noProof/>
            <w:sz w:val="17"/>
          </w:rPr>
          <w:t xml:space="preserve">14.  Registration, recovery and reset</w:t>
        </w:r>
        <w:r>
          <w:rPr>
            <w:noProof/>
            <w:sz w:val="17"/>
          </w:rPr>
          <w:tab/>
        </w:r>
        <w:r>
          <w:rPr>
            <w:noProof/>
          </w:rPr>
          <w:fldChar w:fldCharType="begin"/>
        </w:r>
        <w:r>
          <w:rPr>
            <w:noProof/>
          </w:rPr>
          <w:instrText xml:space="preserve"> PAGEREF _RG0040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1" w:history="1">
        <w:r>
          <w:rPr>
            <w:noProof/>
            <w:sz w:val="17"/>
          </w:rPr>
          <w:t xml:space="preserve">14.1  Initial registration</w:t>
        </w:r>
        <w:r>
          <w:rPr>
            <w:noProof/>
            <w:sz w:val="17"/>
          </w:rPr>
          <w:tab/>
        </w:r>
        <w:r>
          <w:rPr>
            <w:noProof/>
          </w:rPr>
          <w:fldChar w:fldCharType="begin"/>
        </w:r>
        <w:r>
          <w:rPr>
            <w:noProof/>
          </w:rPr>
          <w:instrText xml:space="preserve"> PAGEREF _RG0041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2" w:history="1">
        <w:r>
          <w:rPr>
            <w:noProof/>
            <w:sz w:val="17"/>
          </w:rPr>
          <w:t xml:space="preserve">14.2  Reset and recovery by the service desk</w:t>
        </w:r>
        <w:r>
          <w:rPr>
            <w:noProof/>
            <w:sz w:val="17"/>
          </w:rPr>
          <w:tab/>
        </w:r>
        <w:r>
          <w:rPr>
            <w:noProof/>
          </w:rPr>
          <w:fldChar w:fldCharType="begin"/>
        </w:r>
        <w:r>
          <w:rPr>
            <w:noProof/>
          </w:rPr>
          <w:instrText xml:space="preserve"> PAGEREF _RG0042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43" w:history="1">
        <w:r>
          <w:rPr>
            <w:noProof/>
            <w:sz w:val="17"/>
          </w:rPr>
          <w:t xml:space="preserve">14.3  Self-service recovery</w:t>
        </w:r>
        <w:r>
          <w:rPr>
            <w:noProof/>
            <w:sz w:val="17"/>
          </w:rPr>
          <w:tab/>
        </w:r>
        <w:r>
          <w:rPr>
            <w:noProof/>
          </w:rPr>
          <w:fldChar w:fldCharType="begin"/>
        </w:r>
        <w:r>
          <w:rPr>
            <w:noProof/>
          </w:rPr>
          <w:instrText xml:space="preserve"> PAGEREF _RG0043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4" w:history="1">
        <w:r>
          <w:rPr>
            <w:noProof/>
            <w:sz w:val="17"/>
          </w:rPr>
          <w:t xml:space="preserve">14.4  Lost or stolen authenticator</w:t>
        </w:r>
        <w:r>
          <w:rPr>
            <w:noProof/>
            <w:sz w:val="17"/>
          </w:rPr>
          <w:tab/>
        </w:r>
        <w:r>
          <w:rPr>
            <w:noProof/>
          </w:rPr>
          <w:fldChar w:fldCharType="begin"/>
        </w:r>
        <w:r>
          <w:rPr>
            <w:noProof/>
          </w:rPr>
          <w:instrText xml:space="preserve"> PAGEREF _RG0044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45" w:history="1">
        <w:r>
          <w:rPr>
            <w:noProof/>
            <w:sz w:val="17"/>
          </w:rPr>
          <w:t xml:space="preserve">15.  Monitoring and alerting</w:t>
        </w:r>
        <w:r>
          <w:rPr>
            <w:noProof/>
            <w:sz w:val="17"/>
          </w:rPr>
          <w:tab/>
        </w:r>
        <w:r>
          <w:rPr>
            <w:noProof/>
          </w:rPr>
          <w:fldChar w:fldCharType="begin"/>
        </w:r>
        <w:r>
          <w:rPr>
            <w:noProof/>
          </w:rPr>
          <w:instrText xml:space="preserve"> PAGEREF _RG0045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6" w:history="1">
        <w:r>
          <w:rPr>
            <w:noProof/>
            <w:sz w:val="17"/>
          </w:rPr>
          <w:t xml:space="preserve">16.  Exceptions</w:t>
        </w:r>
        <w:r>
          <w:rPr>
            <w:noProof/>
            <w:sz w:val="17"/>
          </w:rPr>
          <w:tab/>
        </w:r>
        <w:r>
          <w:rPr>
            <w:noProof/>
          </w:rPr>
          <w:fldChar w:fldCharType="begin"/>
        </w:r>
        <w:r>
          <w:rPr>
            <w:noProof/>
          </w:rPr>
          <w:instrText xml:space="preserve"> PAGEREF _RG0046 \h </w:instrText>
        </w:r>
        <w:r>
          <w:rPr>
            <w:noProof/>
          </w:rPr>
          <w:fldChar w:fldCharType="separate"/>
        </w:r>
        <w:r>
          <w:rPr>
            <w:noProof/>
            <w:sz w:val="17"/>
          </w:rPr>
          <w:t>19</w:t>
        </w:r>
        <w:r>
          <w:rPr>
            <w:noProof/>
          </w:rPr>
          <w:fldChar w:fldCharType="end"/>
        </w:r>
      </w:hyperlink>
    </w:p>
    <w:p>
      <w:pPr>
        <w:pStyle w:val="TOC1"/>
        <w:tabs>
          <w:tab w:val="right" w:leader="dot" w:pos="9746"/>
        </w:tabs>
        <w:spacing w:after="12" w:line="240" w:lineRule="auto"/>
        <w:rPr>
          <w:noProof/>
        </w:rPr>
      </w:pPr>
      <w:hyperlink w:anchor="_RG0047" w:history="1">
        <w:r>
          <w:rPr>
            <w:noProof/>
            <w:sz w:val="17"/>
          </w:rPr>
          <w:t xml:space="preserve">17.  Evidence of operation</w:t>
        </w:r>
        <w:r>
          <w:rPr>
            <w:noProof/>
            <w:sz w:val="17"/>
          </w:rPr>
          <w:tab/>
        </w:r>
        <w:r>
          <w:rPr>
            <w:noProof/>
          </w:rPr>
          <w:fldChar w:fldCharType="begin"/>
        </w:r>
        <w:r>
          <w:rPr>
            <w:noProof/>
          </w:rPr>
          <w:instrText xml:space="preserve"> PAGEREF _RG0047 \h </w:instrText>
        </w:r>
        <w:r>
          <w:rPr>
            <w:noProof/>
          </w:rPr>
          <w:fldChar w:fldCharType="separate"/>
        </w:r>
        <w:r>
          <w:rPr>
            <w:noProof/>
            <w:sz w:val="17"/>
          </w:rPr>
          <w:t>19</w:t>
        </w:r>
        <w:r>
          <w:rPr>
            <w:noProof/>
          </w:rPr>
          <w:fldChar w:fldCharType="end"/>
        </w:r>
      </w:hyperlink>
    </w:p>
    <w:p>
      <w:pPr>
        <w:pStyle w:val="TOC1"/>
        <w:tabs>
          <w:tab w:val="right" w:leader="dot" w:pos="9746"/>
        </w:tabs>
        <w:spacing w:after="12" w:line="240" w:lineRule="auto"/>
        <w:rPr>
          <w:noProof/>
        </w:rPr>
      </w:pPr>
      <w:hyperlink w:anchor="_RG0048" w:history="1">
        <w:r>
          <w:rPr>
            <w:noProof/>
            <w:sz w:val="17"/>
          </w:rPr>
          <w:t xml:space="preserve">18.  Review and maintenance</w:t>
        </w:r>
        <w:r>
          <w:rPr>
            <w:noProof/>
            <w:sz w:val="17"/>
          </w:rPr>
          <w:tab/>
        </w:r>
        <w:r>
          <w:rPr>
            <w:noProof/>
          </w:rPr>
          <w:fldChar w:fldCharType="begin"/>
        </w:r>
        <w:r>
          <w:rPr>
            <w:noProof/>
          </w:rPr>
          <w:instrText xml:space="preserve"> PAGEREF _RG0048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49" w:history="1">
        <w:r>
          <w:rPr>
            <w:noProof/>
            <w:sz w:val="17"/>
          </w:rPr>
          <w:t xml:space="preserve">19.  What this document cannot do</w:t>
        </w:r>
        <w:r>
          <w:rPr>
            <w:noProof/>
            <w:sz w:val="17"/>
          </w:rPr>
          <w:tab/>
        </w:r>
        <w:r>
          <w:rPr>
            <w:noProof/>
          </w:rPr>
          <w:fldChar w:fldCharType="begin"/>
        </w:r>
        <w:r>
          <w:rPr>
            <w:noProof/>
          </w:rPr>
          <w:instrText xml:space="preserve"> PAGEREF _RG0049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50" w:history="1">
        <w:r>
          <w:rPr>
            <w:noProof/>
            <w:sz w:val="17"/>
          </w:rPr>
          <w:t xml:space="preserve">Appendix A.  MFA coverage reconciliation record</w:t>
        </w:r>
        <w:r>
          <w:rPr>
            <w:noProof/>
            <w:sz w:val="17"/>
          </w:rPr>
          <w:tab/>
        </w:r>
        <w:r>
          <w:rPr>
            <w:noProof/>
          </w:rPr>
          <w:fldChar w:fldCharType="begin"/>
        </w:r>
        <w:r>
          <w:rPr>
            <w:noProof/>
          </w:rPr>
          <w:instrText xml:space="preserve"> PAGEREF _RG0050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51" w:history="1">
        <w:r>
          <w:rPr>
            <w:noProof/>
            <w:sz w:val="17"/>
          </w:rPr>
          <w:t xml:space="preserve">Appendix B.  Exception request form</w:t>
        </w:r>
        <w:r>
          <w:rPr>
            <w:noProof/>
            <w:sz w:val="17"/>
          </w:rPr>
          <w:tab/>
        </w:r>
        <w:r>
          <w:rPr>
            <w:noProof/>
          </w:rPr>
          <w:fldChar w:fldCharType="begin"/>
        </w:r>
        <w:r>
          <w:rPr>
            <w:noProof/>
          </w:rPr>
          <w:instrText xml:space="preserve"> PAGEREF _RG0051 \h </w:instrText>
        </w:r>
        <w:r>
          <w:rPr>
            <w:noProof/>
          </w:rPr>
          <w:fldChar w:fldCharType="separate"/>
        </w:r>
        <w:r>
          <w:rPr>
            <w:noProof/>
            <w:sz w:val="17"/>
          </w:rPr>
          <w:t>23</w:t>
        </w:r>
        <w:r>
          <w:rPr>
            <w:noProof/>
          </w:rPr>
          <w:fldChar w:fldCharType="end"/>
        </w:r>
      </w:hyperlink>
    </w:p>
    <w:p>
      <w:pPr>
        <w:pStyle w:val="TOC1"/>
        <w:tabs>
          <w:tab w:val="right" w:leader="dot" w:pos="9746"/>
        </w:tabs>
        <w:spacing w:after="12" w:line="240" w:lineRule="auto"/>
        <w:rPr>
          <w:noProof/>
        </w:rPr>
      </w:pPr>
      <w:hyperlink w:anchor="_RG0052" w:history="1">
        <w:r>
          <w:rPr>
            <w:noProof/>
            <w:sz w:val="17"/>
          </w:rPr>
          <w:t xml:space="preserve">Appendix C.  Authenticator reset verification checklist</w:t>
        </w:r>
        <w:r>
          <w:rPr>
            <w:noProof/>
            <w:sz w:val="17"/>
          </w:rPr>
          <w:tab/>
        </w:r>
        <w:r>
          <w:rPr>
            <w:noProof/>
          </w:rPr>
          <w:fldChar w:fldCharType="begin"/>
        </w:r>
        <w:r>
          <w:rPr>
            <w:noProof/>
          </w:rPr>
          <w:instrText xml:space="preserve"> PAGEREF _RG0052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53" w:history="1">
        <w:r>
          <w:rPr>
            <w:noProof/>
            <w:sz w:val="17"/>
          </w:rPr>
          <w:t xml:space="preserve">Appendix D.  Break-glass account register</w:t>
        </w:r>
        <w:r>
          <w:rPr>
            <w:noProof/>
            <w:sz w:val="17"/>
          </w:rPr>
          <w:tab/>
        </w:r>
        <w:r>
          <w:rPr>
            <w:noProof/>
          </w:rPr>
          <w:fldChar w:fldCharType="begin"/>
        </w:r>
        <w:r>
          <w:rPr>
            <w:noProof/>
          </w:rPr>
          <w:instrText xml:space="preserve"> PAGEREF _RG0053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54" w:history="1">
        <w:r>
          <w:rPr>
            <w:noProof/>
            <w:sz w:val="17"/>
          </w:rPr>
          <w:t xml:space="preserve">Appendix E.  Guidance for adoption in Microsoft Entra ID and Google Workspace</w:t>
        </w:r>
        <w:r>
          <w:rPr>
            <w:noProof/>
            <w:sz w:val="17"/>
          </w:rPr>
          <w:tab/>
        </w:r>
        <w:r>
          <w:rPr>
            <w:noProof/>
          </w:rPr>
          <w:fldChar w:fldCharType="begin"/>
        </w:r>
        <w:r>
          <w:rPr>
            <w:noProof/>
          </w:rPr>
          <w:instrText xml:space="preserve"> PAGEREF _RG0054 \h </w:instrText>
        </w:r>
        <w:r>
          <w:rPr>
            <w:noProof/>
          </w:rPr>
          <w:fldChar w:fldCharType="separate"/>
        </w:r>
        <w:r>
          <w:rPr>
            <w:noProof/>
            <w:sz w:val="17"/>
          </w:rPr>
          <w:t>26</w:t>
        </w:r>
        <w:r>
          <w:rPr>
            <w:noProof/>
          </w:rPr>
          <w:fldChar w:fldCharType="end"/>
        </w:r>
      </w:hyperlink>
    </w:p>
    <w:p>
      <w:pPr>
        <w:pStyle w:val="TOC1"/>
        <w:tabs>
          <w:tab w:val="right" w:leader="dot" w:pos="9746"/>
        </w:tabs>
        <w:spacing w:after="12" w:line="240" w:lineRule="auto"/>
        <w:rPr>
          <w:noProof/>
        </w:rPr>
      </w:pPr>
      <w:hyperlink w:anchor="_RG0055" w:history="1">
        <w:r>
          <w:rPr>
            <w:noProof/>
            <w:sz w:val="17"/>
          </w:rPr>
          <w:t xml:space="preserve">Glossary</w:t>
        </w:r>
        <w:r>
          <w:rPr>
            <w:noProof/>
            <w:sz w:val="17"/>
          </w:rPr>
          <w:tab/>
        </w:r>
        <w:r>
          <w:rPr>
            <w:noProof/>
          </w:rPr>
          <w:fldChar w:fldCharType="begin"/>
        </w:r>
        <w:r>
          <w:rPr>
            <w:noProof/>
          </w:rPr>
          <w:instrText xml:space="preserve"> PAGEREF _RG0055 \h </w:instrText>
        </w:r>
        <w:r>
          <w:rPr>
            <w:noProof/>
          </w:rPr>
          <w:fldChar w:fldCharType="separate"/>
        </w:r>
        <w:r>
          <w:rPr>
            <w:noProof/>
            <w:sz w:val="17"/>
          </w:rPr>
          <w:t>29</w:t>
        </w:r>
        <w:r>
          <w:rPr>
            <w:noProof/>
          </w:rPr>
          <w:fldChar w:fldCharType="end"/>
        </w:r>
      </w:hyperlink>
    </w:p>
    <w:p>
      <w:pPr>
        <w:pStyle w:val="TOC1"/>
        <w:tabs>
          <w:tab w:val="right" w:leader="dot" w:pos="9746"/>
        </w:tabs>
        <w:spacing w:after="12" w:line="240" w:lineRule="auto"/>
        <w:rPr>
          <w:noProof/>
        </w:rPr>
      </w:pPr>
      <w:hyperlink w:anchor="_RG0058" w:history="1">
        <w:r>
          <w:rPr>
            <w:noProof/>
            <w:sz w:val="17"/>
          </w:rPr>
          <w:t xml:space="preserve">Record of changes</w:t>
        </w:r>
        <w:r>
          <w:rPr>
            <w:noProof/>
            <w:sz w:val="17"/>
          </w:rPr>
          <w:tab/>
        </w:r>
        <w:r>
          <w:rPr>
            <w:noProof/>
          </w:rPr>
          <w:fldChar w:fldCharType="begin"/>
        </w:r>
        <w:r>
          <w:rPr>
            <w:noProof/>
          </w:rPr>
          <w:instrText xml:space="preserve"> PAGEREF _RG0058 \h </w:instrText>
        </w:r>
        <w:r>
          <w:rPr>
            <w:noProof/>
          </w:rPr>
          <w:fldChar w:fldCharType="separate"/>
        </w:r>
        <w:r>
          <w:rPr>
            <w:noProof/>
            <w:sz w:val="17"/>
          </w:rPr>
          <w:t>30</w:t>
        </w:r>
        <w:r>
          <w:rPr>
            <w:noProof/>
          </w:rPr>
          <w:fldChar w:fldCharType="end"/>
        </w:r>
      </w:hyperlink>
      <w:r>
        <w:rPr>
          <w:noProof/>
        </w:rPr>
        <w:fldChar w:fldCharType="end"/>
      </w:r>
    </w:p>
    <w:p>
      <w:pPr>
        <w:pStyle w:val="Heading1"/>
        <w:keepNext/>
        <w:keepLines/>
        <w:pageBreakBefore/>
        <w:pBdr>
          <w:bottom w:val="single" w:color="D4DAE0" w:sz="4" w:space="4"/>
        </w:pBdr>
        <w:spacing w:after="140" w:before="300"/>
      </w:pPr>
      <w:bookmarkStart w:name="_RG0001" w:id="1"/>
      <w:r>
        <w:t xml:space="preserve">Executive summary</w:t>
      </w:r>
      <w:bookmarkEnd w:id="1"/>
    </w:p>
    <w:p>
      <w:pPr>
        <w:keepNext/>
        <w:spacing w:after="70" w:before="200"/>
      </w:pPr>
      <w:r>
        <w:rPr>
          <w:b/>
          <w:bCs/>
          <w:color w:val="2E5C7A"/>
          <w:sz w:val="17"/>
          <w:szCs w:val="17"/>
        </w:rPr>
        <w:t xml:space="preserve">WHY THIS IS WORTH A DOCUMENT OF ITS OWN</w:t>
      </w:r>
    </w:p>
    <w:p>
      <w:pPr>
        <w:spacing w:after="130" w:line="262"/>
      </w:pPr>
      <w:r>
        <w:t xml:space="preserve">Most organizations can say they have multi-factor authentication. Far fewer can show it. The usual position is a dashboard reporting that most users have registered an authenticator app, a policy that was switched on for everyone except a list of exclusions nobody has reviewed since it was created, a handful of administrator accounts that predate the policy, a service account signing in with a password over a protocol that never asks for a second factor, and a help desk that will reset any of it for a caller who sounds convincing.</w:t>
      </w:r>
    </w:p>
    <w:p>
      <w:pPr>
        <w:spacing w:after="130" w:line="262"/>
      </w:pPr>
      <w:r>
        <w:t xml:space="preserve">Each of those is a route around the control, and attackers use them in that order. Credential stuffing and password spraying go to the protocols that cannot challenge for a second factor. Push prompts are sent until someone approves one. The help desk is called and asked to register a new phone. None of these defeats multi-factor authentication. Each one simply finds an account or a path where it was never enforced.</w:t>
      </w:r>
    </w:p>
    <w:p>
      <w:pPr>
        <w:spacing w:after="130" w:line="262"/>
      </w:pPr>
      <w:r>
        <w:t xml:space="preserve">This standard is written around the question an assessor asks first: can the organization produce evidence that every account, including administrators, service accounts, emergency access accounts, guests and third parties, has a second factor that is enforced at sign-in, and that the exceptions are known, approved and expiring. Registration is not enough. A policy in report-only mode is not enough. A user who has never signed in since the policy was enabled has not yet been tested by it.</w:t>
      </w:r>
    </w:p>
    <w:p>
      <w:pPr>
        <w:keepNext/>
        <w:spacing w:after="70" w:before="200"/>
      </w:pPr>
      <w:r>
        <w:rPr>
          <w:b/>
          <w:bCs/>
          <w:color w:val="2E5C7A"/>
          <w:sz w:val="17"/>
          <w:szCs w:val="17"/>
        </w:rPr>
        <w:t xml:space="preserve">WHAT THIS DOCUMENT CONTAINS</w:t>
      </w:r>
    </w:p>
    <w:p>
      <w:pPr>
        <w:spacing w:after="130" w:line="262"/>
      </w:pPr>
      <w:r>
        <w:t xml:space="preserve">Requirements for every account type, a ranking of authenticator types by strength with the conditions under which each may be used, the enforcement controls that close the gap between registered and enforced, emergency access and service account rules, password requirements aligned to the current revision of NIST SP 800-63B, controls against push fatigue, help desk recovery and reset procedures, session lifetime, monitoring, and an exception process with expiry.</w:t>
      </w:r>
    </w:p>
    <w:p>
      <w:pPr>
        <w:spacing w:after="130" w:line="262"/>
      </w:pPr>
      <w:r>
        <w:t xml:space="preserve">It closes with an evidence of operation table and five appendices you will fill in: an MFA coverage reconciliation record, an exception request form, an authenticator reset verification checklist, a break-glass account register with its test log, and guidance for adopting the standard in Microsoft Entra ID and Google Workspace.</w:t>
      </w:r>
    </w:p>
    <w:p>
      <w:pPr>
        <w:keepNext/>
        <w:spacing w:after="70" w:before="200"/>
      </w:pPr>
      <w:r>
        <w:rPr>
          <w:b/>
          <w:bCs/>
          <w:color w:val="2E5C7A"/>
          <w:sz w:val="17"/>
          <w:szCs w:val="17"/>
        </w:rPr>
        <w:t xml:space="preserve">HOW IT FITS WITH THE OTHER TWO</w:t>
      </w:r>
    </w:p>
    <w:p>
      <w:pPr>
        <w:spacing w:after="130" w:line="262"/>
      </w:pPr>
      <w:r>
        <w:t xml:space="preserve">This is the third of three documents that together answer the questions a security health check asks first. The Joiner, Mover and Leaver Standard answers whether access ends when a person leaves. The Backup and Recovery Policy answers whether data can be restored. This standard answers whether the accounts that remain are protected by more than a password. They share a population: the account inventory reconciled under this standard is the same inventory the leaver process removes accounts from, and the emergency access accounts registered here are the ones a recovery depends on when the identity provider itself is the thing that failed.</w:t>
      </w:r>
    </w:p>
    <w:p>
      <w:pPr>
        <w:keepNext/>
        <w:spacing w:after="70" w:before="200"/>
      </w:pPr>
      <w:r>
        <w:rPr>
          <w:b/>
          <w:bCs/>
          <w:color w:val="2E5C7A"/>
          <w:sz w:val="17"/>
          <w:szCs w:val="17"/>
        </w:rPr>
        <w:t xml:space="preserve">WHO THIS DOCUMENT IS FOR</w:t>
      </w:r>
    </w:p>
    <w:p>
      <w:pPr>
        <w:spacing w:after="130" w:line="262"/>
      </w:pPr>
      <w:r>
        <w:t xml:space="preserve">The person who has been asked to make multi-factor authentication real across the organization: an IT manager, an operations lead, or a compliance owner in an organization of 20 to 2,000 staff, with a small security function or none. It assumes a cloud identity provider is in place and that most applications sign in through it. Where that is not yet true, the standard still applies, and section 6.4 covers systems that authenticate on their own.</w:t>
      </w:r>
    </w:p>
    <w:p>
      <w:pPr>
        <w:keepNext/>
        <w:spacing w:after="70" w:before="200"/>
      </w:pPr>
      <w:r>
        <w:rPr>
          <w:b/>
          <w:bCs/>
          <w:color w:val="2E5C7A"/>
          <w:sz w:val="17"/>
          <w:szCs w:val="17"/>
        </w:rPr>
        <w:t xml:space="preserve">WHAT IT IS NOT</w:t>
      </w:r>
    </w:p>
    <w:p>
      <w:pPr>
        <w:spacing w:after="130" w:line="262"/>
      </w:pPr>
      <w:r>
        <w:t xml:space="preserve">It is not a configuration guide for any one product, and it does not choose a product for you. Appendix E gives platform pointers for two common identity providers, but the requirements are written to hold on any of them. It is also not a substitute for testing: a requirement is only met when the evidence in section 17 can be produced on request.</w:t>
      </w:r>
    </w:p>
    <w:p>
      <w:pPr>
        <w:pStyle w:val="Heading1"/>
        <w:keepNext/>
        <w:keepLines/>
        <w:pageBreakBefore/>
        <w:pBdr>
          <w:bottom w:val="single" w:color="D4DAE0" w:sz="4" w:space="4"/>
        </w:pBdr>
        <w:spacing w:after="140" w:before="300"/>
      </w:pPr>
      <w:bookmarkStart w:name="_RG0002" w:id="1"/>
      <w:r>
        <w:t xml:space="preserve">1.  Purpose and scope</w:t>
      </w:r>
      <w:bookmarkEnd w:id="1"/>
    </w:p>
    <w:p>
      <w:pPr>
        <w:spacing w:after="130" w:line="262"/>
      </w:pPr>
      <w:r>
        <w:t xml:space="preserve">This standard sets the requirements for authenticating every account that can access the organization's systems and data, and the records that demonstrate those requirements are operating. Its central requirement is that every account able to sign in interactively is required to present a second factor at sign-in, enforced by a technical control, with any exception recorded, approved and time limited.</w:t>
      </w:r>
    </w:p>
    <w:p>
      <w:pPr>
        <w:spacing w:after="60" w:line="120"/>
      </w:pPr>
      <w:r>
        <w:rPr>
          <w:sz w:val="4"/>
          <w:szCs w:val="4"/>
        </w:rPr>
        <w:t xml:space="preserve"/>
      </w:r>
    </w:p>
    <w:p>
      <w:pPr>
        <w:pStyle w:val="Heading2"/>
        <w:keepNext/>
        <w:keepLines/>
        <w:spacing w:after="90" w:before="220"/>
      </w:pPr>
      <w:bookmarkStart w:name="_RG0003" w:id="1"/>
      <w:r>
        <w:t xml:space="preserve">1.1  Accounts in scope</w:t>
      </w:r>
      <w:bookmarkEnd w:id="1"/>
    </w:p>
    <w:p>
      <w:pPr>
        <w:spacing w:after="130" w:line="262"/>
      </w:pPr>
      <w:r>
        <w:t xml:space="preserve">The standard applies to every account, human or not, that can authenticate to an organization system. The account types below are used throughout the document. Every account in the inventory is assigned exactly one type.</w:t>
      </w:r>
    </w:p>
    <w:p>
      <w:pPr>
        <w:keepNext/>
        <w:keepLines/>
        <w:pBdr>
          <w:top w:val="single" w:color="D4DAE0" w:sz="4" w:space="9"/>
        </w:pBdr>
        <w:spacing w:after="46" w:before="110"/>
      </w:pPr>
      <w:r>
        <w:rPr>
          <w:b/>
          <w:bCs/>
          <w:color w:val="2E5C7A"/>
          <w:sz w:val="21"/>
          <w:szCs w:val="21"/>
        </w:rPr>
        <w:t xml:space="preserve">Workforce account</w:t>
      </w:r>
    </w:p>
    <w:p>
      <w:pPr>
        <w:spacing w:after="62" w:line="262"/>
        <w:ind w:left="172"/>
      </w:pPr>
      <w:r>
        <w:t xml:space="preserve">An account issued to a named employee, contractor or temporary worker for day-to-day work, including email and line-of-business applications.</w:t>
      </w:r>
    </w:p>
    <w:p>
      <w:pPr>
        <w:keepNext/>
        <w:keepLines/>
        <w:pBdr>
          <w:top w:val="single" w:color="D4DAE0" w:sz="4" w:space="9"/>
        </w:pBdr>
        <w:spacing w:after="46" w:before="170"/>
      </w:pPr>
      <w:r>
        <w:rPr>
          <w:b/>
          <w:bCs/>
          <w:color w:val="2E5C7A"/>
          <w:sz w:val="21"/>
          <w:szCs w:val="21"/>
        </w:rPr>
        <w:t xml:space="preserve">Privileged account</w:t>
      </w:r>
    </w:p>
    <w:p>
      <w:pPr>
        <w:spacing w:after="62" w:line="262"/>
        <w:ind w:left="172"/>
      </w:pPr>
      <w:r>
        <w:t xml:space="preserve">An account holding any role that can change identity, security, tenant-wide, financial or infrastructure configuration, read other users' data in bulk, or grant access to others. Includes identity provider administrators, cloud subscription owners, email administrators, endpoint management administrators, backup administrators and domain administrators.</w:t>
      </w:r>
    </w:p>
    <w:p>
      <w:pPr>
        <w:keepNext/>
        <w:keepLines/>
        <w:pBdr>
          <w:top w:val="single" w:color="D4DAE0" w:sz="4" w:space="9"/>
        </w:pBdr>
        <w:spacing w:after="46" w:before="170"/>
      </w:pPr>
      <w:r>
        <w:rPr>
          <w:b/>
          <w:bCs/>
          <w:color w:val="2E5C7A"/>
          <w:sz w:val="21"/>
          <w:szCs w:val="21"/>
        </w:rPr>
        <w:t xml:space="preserve">Emergency access account</w:t>
      </w:r>
    </w:p>
    <w:p>
      <w:pPr>
        <w:spacing w:after="62" w:line="262"/>
        <w:ind w:left="172"/>
      </w:pPr>
      <w:r>
        <w:t xml:space="preserve">A cloud-only privileged account held in reserve to restore administrative access when normal administrator sign-in fails, for example because of a misconfigured access policy or an outage of the authentication service. Also called a break-glass account.</w:t>
      </w:r>
    </w:p>
    <w:p>
      <w:pPr>
        <w:keepNext/>
        <w:keepLines/>
        <w:pBdr>
          <w:top w:val="single" w:color="D4DAE0" w:sz="4" w:space="9"/>
        </w:pBdr>
        <w:spacing w:after="46" w:before="170"/>
      </w:pPr>
      <w:r>
        <w:rPr>
          <w:b/>
          <w:bCs/>
          <w:color w:val="2E5C7A"/>
          <w:sz w:val="21"/>
          <w:szCs w:val="21"/>
        </w:rPr>
        <w:t xml:space="preserve">Service account and workload identity</w:t>
      </w:r>
    </w:p>
    <w:p>
      <w:pPr>
        <w:spacing w:after="62" w:line="262"/>
        <w:ind w:left="172"/>
      </w:pPr>
      <w:r>
        <w:t xml:space="preserve">A non-human identity used by an application, script, scheduled task, integration or device to authenticate to another system. Includes managed identities, service principals and application registrations, API keys, and user-type accounts that have been repurposed for automation.</w:t>
      </w:r>
    </w:p>
    <w:p>
      <w:pPr>
        <w:keepNext/>
        <w:keepLines/>
        <w:pBdr>
          <w:top w:val="single" w:color="D4DAE0" w:sz="4" w:space="9"/>
        </w:pBdr>
        <w:spacing w:after="46" w:before="170"/>
      </w:pPr>
      <w:r>
        <w:rPr>
          <w:b/>
          <w:bCs/>
          <w:color w:val="2E5C7A"/>
          <w:sz w:val="21"/>
          <w:szCs w:val="21"/>
        </w:rPr>
        <w:t xml:space="preserve">Shared or functional account</w:t>
      </w:r>
    </w:p>
    <w:p>
      <w:pPr>
        <w:spacing w:after="62" w:line="262"/>
        <w:ind w:left="172"/>
      </w:pPr>
      <w:r>
        <w:t xml:space="preserve">An account used by more than one person or by a role rather than a person, such as a shared mailbox, a front desk login or a kiosk. Interactive sign-in to a shared account is prohibited unless an exception is approved under section 16.</w:t>
      </w:r>
    </w:p>
    <w:p>
      <w:pPr>
        <w:keepNext/>
        <w:keepLines/>
        <w:pBdr>
          <w:top w:val="single" w:color="D4DAE0" w:sz="4" w:space="9"/>
        </w:pBdr>
        <w:spacing w:after="46" w:before="170"/>
      </w:pPr>
      <w:r>
        <w:rPr>
          <w:b/>
          <w:bCs/>
          <w:color w:val="2E5C7A"/>
          <w:sz w:val="21"/>
          <w:szCs w:val="21"/>
        </w:rPr>
        <w:t xml:space="preserve">Guest and external account</w:t>
      </w:r>
    </w:p>
    <w:p>
      <w:pPr>
        <w:spacing w:after="62" w:line="262"/>
        <w:ind w:left="172"/>
      </w:pPr>
      <w:r>
        <w:t xml:space="preserve">An identity from another organization or a consumer identity provider granted access to the organization's resources, including business partners, customers given portal access and auditors.</w:t>
      </w:r>
    </w:p>
    <w:p>
      <w:pPr>
        <w:keepNext/>
        <w:keepLines/>
        <w:pBdr>
          <w:top w:val="single" w:color="D4DAE0" w:sz="4" w:space="9"/>
        </w:pBdr>
        <w:spacing w:after="46" w:before="170"/>
      </w:pPr>
      <w:r>
        <w:rPr>
          <w:b/>
          <w:bCs/>
          <w:color w:val="2E5C7A"/>
          <w:sz w:val="21"/>
          <w:szCs w:val="21"/>
        </w:rPr>
        <w:t xml:space="preserve">Third-party administrative access</w:t>
      </w:r>
    </w:p>
    <w:p>
      <w:pPr>
        <w:spacing w:after="62" w:line="262"/>
        <w:ind w:left="172"/>
      </w:pPr>
      <w:r>
        <w:t xml:space="preserve">Access held by a supplier, managed service provider or contractor that can administer organization systems, whether through a guest account, a delegated administration relationship or a local account the supplier controls.</w:t>
      </w:r>
    </w:p>
    <w:p>
      <w:pPr>
        <w:spacing w:after="60" w:line="120"/>
      </w:pPr>
      <w:r>
        <w:rPr>
          <w:sz w:val="4"/>
          <w:szCs w:val="4"/>
        </w:rPr>
        <w:t xml:space="preserve"/>
      </w:r>
    </w:p>
    <w:p>
      <w:pPr>
        <w:pStyle w:val="Heading2"/>
        <w:keepNext/>
        <w:keepLines/>
        <w:spacing w:after="90" w:before="220"/>
      </w:pPr>
      <w:bookmarkStart w:name="_RG0004" w:id="1"/>
      <w:r>
        <w:t xml:space="preserve">1.2  Systems in scope</w:t>
      </w:r>
      <w:bookmarkEnd w:id="1"/>
    </w:p>
    <w:p>
      <w:pPr>
        <w:spacing w:after="130" w:line="262"/>
      </w:pPr>
      <w:r>
        <w:t xml:space="preserve">The standard applies to the organization's identity provider and to every system that authenticates users, whether through the identity provider or on its own. The following are always in scope:</w:t>
      </w:r>
    </w:p>
    <w:p>
      <w:pPr>
        <w:pStyle w:val="ListParagraph"/>
        <w:numPr>
          <w:ilvl w:val="0"/>
          <w:numId w:val="2"/>
        </w:numPr>
        <w:spacing w:after="60" w:line="262"/>
      </w:pPr>
      <w:r>
        <w:t xml:space="preserve">The identity provider and its administration console.</w:t>
      </w:r>
    </w:p>
    <w:p>
      <w:pPr>
        <w:pStyle w:val="ListParagraph"/>
        <w:numPr>
          <w:ilvl w:val="0"/>
          <w:numId w:val="2"/>
        </w:numPr>
        <w:spacing w:after="60" w:line="262"/>
      </w:pPr>
      <w:r>
        <w:t xml:space="preserve">Email and collaboration services.</w:t>
      </w:r>
    </w:p>
    <w:p>
      <w:pPr>
        <w:pStyle w:val="ListParagraph"/>
        <w:numPr>
          <w:ilvl w:val="0"/>
          <w:numId w:val="2"/>
        </w:numPr>
        <w:spacing w:after="60" w:line="262"/>
      </w:pPr>
      <w:r>
        <w:t xml:space="preserve">Remote access: VPN, remote desktop gateways, virtual desktop services and any remote support tool.</w:t>
      </w:r>
    </w:p>
    <w:p>
      <w:pPr>
        <w:pStyle w:val="ListParagraph"/>
        <w:numPr>
          <w:ilvl w:val="0"/>
          <w:numId w:val="2"/>
        </w:numPr>
        <w:spacing w:after="60" w:line="262"/>
      </w:pPr>
      <w:r>
        <w:t xml:space="preserve">Cloud infrastructure consoles and command-line access to them.</w:t>
      </w:r>
    </w:p>
    <w:p>
      <w:pPr>
        <w:pStyle w:val="ListParagraph"/>
        <w:numPr>
          <w:ilvl w:val="0"/>
          <w:numId w:val="2"/>
        </w:numPr>
        <w:spacing w:after="60" w:line="262"/>
      </w:pPr>
      <w:r>
        <w:t xml:space="preserve">Endpoint management, backup, and security tooling consoles.</w:t>
      </w:r>
    </w:p>
    <w:p>
      <w:pPr>
        <w:pStyle w:val="ListParagraph"/>
        <w:numPr>
          <w:ilvl w:val="0"/>
          <w:numId w:val="2"/>
        </w:numPr>
        <w:spacing w:after="60" w:line="262"/>
      </w:pPr>
      <w:r>
        <w:t xml:space="preserve">Finance, payroll and banking platforms, including any bank portal used to approve payments.</w:t>
      </w:r>
    </w:p>
    <w:p>
      <w:pPr>
        <w:pStyle w:val="ListParagraph"/>
        <w:numPr>
          <w:ilvl w:val="0"/>
          <w:numId w:val="2"/>
        </w:numPr>
        <w:spacing w:after="60" w:line="262"/>
      </w:pPr>
      <w:r>
        <w:t xml:space="preserve">Any software-as-a-service application holding organization data, whether or not it is connected to single sign-on.</w:t>
      </w:r>
    </w:p>
    <w:p>
      <w:pPr>
        <w:pStyle w:val="ListParagraph"/>
        <w:numPr>
          <w:ilvl w:val="0"/>
          <w:numId w:val="2"/>
        </w:numPr>
        <w:spacing w:after="60" w:line="262"/>
      </w:pPr>
      <w:r>
        <w:t xml:space="preserve">Network device management interfaces and hypervisor consoles reachable from a network other than an isolated management network.</w:t>
      </w:r>
    </w:p>
    <w:p>
      <w:pPr>
        <w:spacing w:after="60" w:line="120"/>
      </w:pPr>
      <w:r>
        <w:rPr>
          <w:sz w:val="4"/>
          <w:szCs w:val="4"/>
        </w:rPr>
        <w:t xml:space="preserve"/>
      </w:r>
    </w:p>
    <w:p>
      <w:pPr>
        <w:pStyle w:val="Heading2"/>
        <w:keepNext/>
        <w:keepLines/>
        <w:spacing w:after="90" w:before="220"/>
      </w:pPr>
      <w:bookmarkStart w:name="_RG0005" w:id="1"/>
      <w:r>
        <w:t xml:space="preserve">1.3  Relationship to other documents</w:t>
      </w:r>
      <w:bookmarkEnd w:id="1"/>
    </w:p>
    <w:p>
      <w:pPr>
        <w:spacing w:after="130" w:line="262"/>
      </w:pPr>
      <w:r>
        <w:t xml:space="preserve">This standard is applied alongside the Joiner, Mover and Leaver Standard, which governs when accounts are created, changed and removed, and the Backup and Recovery Policy, which governs restoration of data and systems. The account inventory reconciled under section 4 is the same population the Joiner, Mover and Leaver Standard governs. Where the two documents differ on an account's lifecycle, the Joiner, Mover and Leaver Standard governs creation and removal and this standard governs how the account authenticates while it exists.</w:t>
      </w:r>
    </w:p>
    <w:p>
      <w:pPr>
        <w:spacing w:after="60" w:line="120"/>
      </w:pPr>
      <w:r>
        <w:rPr>
          <w:sz w:val="4"/>
          <w:szCs w:val="4"/>
        </w:rPr>
        <w:t xml:space="preserve"/>
      </w:r>
    </w:p>
    <w:p>
      <w:pPr>
        <w:pStyle w:val="Heading1"/>
        <w:keepNext/>
        <w:keepLines/>
        <w:pBdr>
          <w:bottom w:val="single" w:color="D4DAE0" w:sz="4" w:space="4"/>
        </w:pBdr>
        <w:spacing w:after="140" w:before="300"/>
      </w:pPr>
      <w:bookmarkStart w:name="_RG0006" w:id="1"/>
      <w:r>
        <w:t xml:space="preserve">2.  Principles</w:t>
      </w:r>
      <w:bookmarkEnd w:id="1"/>
    </w:p>
    <w:p>
      <w:pPr>
        <w:keepNext/>
        <w:keepLines/>
        <w:pBdr>
          <w:top w:val="single" w:color="D4DAE0" w:sz="4" w:space="9"/>
        </w:pBdr>
        <w:spacing w:after="46" w:before="110"/>
      </w:pPr>
      <w:r>
        <w:rPr>
          <w:b/>
          <w:bCs/>
          <w:color w:val="2E5C7A"/>
          <w:sz w:val="21"/>
          <w:szCs w:val="21"/>
        </w:rPr>
        <w:t xml:space="preserve">Enforced, not registered</w:t>
      </w:r>
    </w:p>
    <w:p>
      <w:pPr>
        <w:spacing w:after="62" w:line="262"/>
        <w:ind w:left="172"/>
      </w:pPr>
      <w:r>
        <w:t xml:space="preserve">A second factor counts only when a technical control requires it at sign-in. A registered authenticator that is never challenged, a policy that only reports, or a per-user setting that a protocol can bypass does not meet this standard.</w:t>
      </w:r>
    </w:p>
    <w:p>
      <w:pPr>
        <w:keepNext/>
        <w:keepLines/>
        <w:pBdr>
          <w:top w:val="single" w:color="D4DAE0" w:sz="4" w:space="9"/>
        </w:pBdr>
        <w:spacing w:after="46" w:before="170"/>
      </w:pPr>
      <w:r>
        <w:rPr>
          <w:b/>
          <w:bCs/>
          <w:color w:val="2E5C7A"/>
          <w:sz w:val="21"/>
          <w:szCs w:val="21"/>
        </w:rPr>
        <w:t xml:space="preserve">Every account, every path</w:t>
      </w:r>
    </w:p>
    <w:p>
      <w:pPr>
        <w:spacing w:after="62" w:line="262"/>
        <w:ind w:left="172"/>
      </w:pPr>
      <w:r>
        <w:t xml:space="preserve">Coverage is measured against the full account inventory and every sign-in path, including legacy protocols, non-interactive sign-ins, guest access and systems outside single sign-on. Coverage of the accounts that happen to use the main portal is not coverage.</w:t>
      </w:r>
    </w:p>
    <w:p>
      <w:pPr>
        <w:keepNext/>
        <w:keepLines/>
        <w:pBdr>
          <w:top w:val="single" w:color="D4DAE0" w:sz="4" w:space="9"/>
        </w:pBdr>
        <w:spacing w:after="46" w:before="170"/>
      </w:pPr>
      <w:r>
        <w:rPr>
          <w:b/>
          <w:bCs/>
          <w:color w:val="2E5C7A"/>
          <w:sz w:val="21"/>
          <w:szCs w:val="21"/>
        </w:rPr>
        <w:t xml:space="preserve">Strength follows privilege</w:t>
      </w:r>
    </w:p>
    <w:p>
      <w:pPr>
        <w:spacing w:after="62" w:line="262"/>
        <w:ind w:left="172"/>
      </w:pPr>
      <w:r>
        <w:t xml:space="preserve">The more an account can change, the stronger its authenticator must be. Privileged accounts use phishing-resistant authenticators without exception other than an emergency access account's documented method.</w:t>
      </w:r>
    </w:p>
    <w:p>
      <w:pPr>
        <w:keepNext/>
        <w:keepLines/>
        <w:pBdr>
          <w:top w:val="single" w:color="D4DAE0" w:sz="4" w:space="9"/>
        </w:pBdr>
        <w:spacing w:after="46" w:before="170"/>
      </w:pPr>
      <w:r>
        <w:rPr>
          <w:b/>
          <w:bCs/>
          <w:color w:val="2E5C7A"/>
          <w:sz w:val="21"/>
          <w:szCs w:val="21"/>
        </w:rPr>
        <w:t xml:space="preserve">Recovery is part of authentication</w:t>
      </w:r>
    </w:p>
    <w:p>
      <w:pPr>
        <w:spacing w:after="62" w:line="262"/>
        <w:ind w:left="172"/>
      </w:pPr>
      <w:r>
        <w:t xml:space="preserve">The process that resets or replaces an authenticator is held to the same standard as the authenticator. A recovery process an attacker can complete by telephone is the account's real second factor.</w:t>
      </w:r>
    </w:p>
    <w:p>
      <w:pPr>
        <w:keepNext/>
        <w:keepLines/>
        <w:pBdr>
          <w:top w:val="single" w:color="D4DAE0" w:sz="4" w:space="9"/>
        </w:pBdr>
        <w:spacing w:after="46" w:before="170"/>
      </w:pPr>
      <w:r>
        <w:rPr>
          <w:b/>
          <w:bCs/>
          <w:color w:val="2E5C7A"/>
          <w:sz w:val="21"/>
          <w:szCs w:val="21"/>
        </w:rPr>
        <w:t xml:space="preserve">Every exception expires</w:t>
      </w:r>
    </w:p>
    <w:p>
      <w:pPr>
        <w:spacing w:after="62" w:line="262"/>
        <w:ind w:left="172"/>
      </w:pPr>
      <w:r>
        <w:t xml:space="preserve">An account excluded from a control is recorded with an owner, a reason, a compensating control and an expiry date. An exception without an expiry date is a permanent gap and is not permitted.</w:t>
      </w:r>
    </w:p>
    <w:p>
      <w:pPr>
        <w:keepNext/>
        <w:keepLines/>
        <w:pBdr>
          <w:top w:val="single" w:color="D4DAE0" w:sz="4" w:space="9"/>
        </w:pBdr>
        <w:spacing w:after="46" w:before="170"/>
      </w:pPr>
      <w:r>
        <w:rPr>
          <w:b/>
          <w:bCs/>
          <w:color w:val="2E5C7A"/>
          <w:sz w:val="21"/>
          <w:szCs w:val="21"/>
        </w:rPr>
        <w:t xml:space="preserve">Evidence is produced from the system</w:t>
      </w:r>
    </w:p>
    <w:p>
      <w:pPr>
        <w:spacing w:after="62" w:line="262"/>
        <w:ind w:left="172"/>
      </w:pPr>
      <w:r>
        <w:t xml:space="preserve">Coverage is demonstrated by exports from the identity provider and sign-in logs, not by a statement that a policy exists. Each requirement names the export that proves it in section 17.</w:t>
      </w:r>
    </w:p>
    <w:p>
      <w:pPr>
        <w:spacing w:after="60" w:line="120"/>
      </w:pPr>
      <w:r>
        <w:rPr>
          <w:sz w:val="4"/>
          <w:szCs w:val="4"/>
        </w:rPr>
        <w:t xml:space="preserve"/>
      </w:r>
    </w:p>
    <w:p>
      <w:pPr>
        <w:pStyle w:val="Heading1"/>
        <w:keepNext/>
        <w:keepLines/>
        <w:pBdr>
          <w:bottom w:val="single" w:color="D4DAE0" w:sz="4" w:space="4"/>
        </w:pBdr>
        <w:spacing w:after="140" w:before="300"/>
      </w:pPr>
      <w:bookmarkStart w:name="_RG0007" w:id="1"/>
      <w:r>
        <w:t xml:space="preserve">3.  Roles and responsibilities</w:t>
      </w:r>
      <w:bookmarkEnd w:id="1"/>
    </w:p>
    <w:p>
      <w:pPr>
        <w:spacing w:after="130" w:line="262"/>
      </w:pPr>
      <w:r>
        <w:t xml:space="preserve">The organization assigns each role below to a named person and records the assignment in the register of control owners. One person may hold more than one role, except that the person who approves an exception shall not be the person who requested it.</w:t>
      </w:r>
    </w:p>
    <w:p>
      <w:pPr>
        <w:keepNext/>
        <w:keepLines/>
        <w:pBdr>
          <w:top w:val="single" w:color="D4DAE0" w:sz="4" w:space="9"/>
        </w:pBdr>
        <w:spacing w:after="46" w:before="110"/>
      </w:pPr>
      <w:r>
        <w:rPr>
          <w:b/>
          <w:bCs/>
          <w:color w:val="2E5C7A"/>
          <w:sz w:val="21"/>
          <w:szCs w:val="21"/>
        </w:rPr>
        <w:t xml:space="preserve">Standard owner</w:t>
      </w:r>
    </w:p>
    <w:p>
      <w:pPr>
        <w:spacing w:after="62" w:line="262"/>
        <w:ind w:left="172"/>
      </w:pPr>
      <w:r>
        <w:t xml:space="preserve">A senior manager accountable for this standard. Approves the standard and changes to it, approves exceptions for privileged and emergency access accounts, and receives the quarterly coverage report.</w:t>
      </w:r>
    </w:p>
    <w:p>
      <w:pPr>
        <w:keepNext/>
        <w:keepLines/>
        <w:pBdr>
          <w:top w:val="single" w:color="D4DAE0" w:sz="4" w:space="9"/>
        </w:pBdr>
        <w:spacing w:after="46" w:before="170"/>
      </w:pPr>
      <w:r>
        <w:rPr>
          <w:b/>
          <w:bCs/>
          <w:color w:val="2E5C7A"/>
          <w:sz w:val="21"/>
          <w:szCs w:val="21"/>
        </w:rPr>
        <w:t xml:space="preserve">Identity administrator</w:t>
      </w:r>
    </w:p>
    <w:p>
      <w:pPr>
        <w:spacing w:after="62" w:line="262"/>
        <w:ind w:left="172"/>
      </w:pPr>
      <w:r>
        <w:t xml:space="preserve">Configures and maintains authentication policies, authentication method settings and the account inventory. Produces the monthly MFA coverage reconciliation and the evidence exports in section 17. Holds a privileged account and is therefore subject to section 6.2.</w:t>
      </w:r>
    </w:p>
    <w:p>
      <w:pPr>
        <w:keepNext/>
        <w:keepLines/>
        <w:pBdr>
          <w:top w:val="single" w:color="D4DAE0" w:sz="4" w:space="9"/>
        </w:pBdr>
        <w:spacing w:after="46" w:before="170"/>
      </w:pPr>
      <w:r>
        <w:rPr>
          <w:b/>
          <w:bCs/>
          <w:color w:val="2E5C7A"/>
          <w:sz w:val="21"/>
          <w:szCs w:val="21"/>
        </w:rPr>
        <w:t xml:space="preserve">Service desk</w:t>
      </w:r>
    </w:p>
    <w:p>
      <w:pPr>
        <w:spacing w:after="62" w:line="262"/>
        <w:ind w:left="172"/>
      </w:pPr>
      <w:r>
        <w:t xml:space="preserve">Performs authenticator registration support, resets and lost authenticator handling using the verification procedure in section 14 and the checklist in Appendix C. Does not hold permissions to change authentication policies.</w:t>
      </w:r>
    </w:p>
    <w:p>
      <w:pPr>
        <w:keepNext/>
        <w:keepLines/>
        <w:pBdr>
          <w:top w:val="single" w:color="D4DAE0" w:sz="4" w:space="9"/>
        </w:pBdr>
        <w:spacing w:after="46" w:before="170"/>
      </w:pPr>
      <w:r>
        <w:rPr>
          <w:b/>
          <w:bCs/>
          <w:color w:val="2E5C7A"/>
          <w:sz w:val="21"/>
          <w:szCs w:val="21"/>
        </w:rPr>
        <w:t xml:space="preserve">Security monitoring owner</w:t>
      </w:r>
    </w:p>
    <w:p>
      <w:pPr>
        <w:spacing w:after="62" w:line="262"/>
        <w:ind w:left="172"/>
      </w:pPr>
      <w:r>
        <w:t xml:space="preserve">Receives and responds to the alerts in section 15, whether that function is internal or provided by a monitoring supplier. Records each alert and its outcome.</w:t>
      </w:r>
    </w:p>
    <w:p>
      <w:pPr>
        <w:keepNext/>
        <w:keepLines/>
        <w:pBdr>
          <w:top w:val="single" w:color="D4DAE0" w:sz="4" w:space="9"/>
        </w:pBdr>
        <w:spacing w:after="46" w:before="170"/>
      </w:pPr>
      <w:r>
        <w:rPr>
          <w:b/>
          <w:bCs/>
          <w:color w:val="2E5C7A"/>
          <w:sz w:val="21"/>
          <w:szCs w:val="21"/>
        </w:rPr>
        <w:t xml:space="preserve">Application and system owner</w:t>
      </w:r>
    </w:p>
    <w:p>
      <w:pPr>
        <w:spacing w:after="62" w:line="262"/>
        <w:ind w:left="172"/>
      </w:pPr>
      <w:r>
        <w:t xml:space="preserve">For each system in scope, confirms whether it authenticates through the identity provider. For a system that authenticates on its own, implements the requirements of section 6.4 and supplies evidence of them each quarter.</w:t>
      </w:r>
    </w:p>
    <w:p>
      <w:pPr>
        <w:keepNext/>
        <w:keepLines/>
        <w:pBdr>
          <w:top w:val="single" w:color="D4DAE0" w:sz="4" w:space="9"/>
        </w:pBdr>
        <w:spacing w:after="46" w:before="170"/>
      </w:pPr>
      <w:r>
        <w:rPr>
          <w:b/>
          <w:bCs/>
          <w:color w:val="2E5C7A"/>
          <w:sz w:val="21"/>
          <w:szCs w:val="21"/>
        </w:rPr>
        <w:t xml:space="preserve">Service account owner</w:t>
      </w:r>
    </w:p>
    <w:p>
      <w:pPr>
        <w:spacing w:after="62" w:line="262"/>
        <w:ind w:left="172"/>
      </w:pPr>
      <w:r>
        <w:t xml:space="preserve">A named person accountable for each service account and workload identity: its purpose, its permissions, its credential type and its rotation. Every non-human identity has one.</w:t>
      </w:r>
    </w:p>
    <w:p>
      <w:pPr>
        <w:keepNext/>
        <w:keepLines/>
        <w:pBdr>
          <w:top w:val="single" w:color="D4DAE0" w:sz="4" w:space="9"/>
        </w:pBdr>
        <w:spacing w:after="46" w:before="170"/>
      </w:pPr>
      <w:r>
        <w:rPr>
          <w:b/>
          <w:bCs/>
          <w:color w:val="2E5C7A"/>
          <w:sz w:val="21"/>
          <w:szCs w:val="21"/>
        </w:rPr>
        <w:t xml:space="preserve">Sponsor of guest or third-party access</w:t>
      </w:r>
    </w:p>
    <w:p>
      <w:pPr>
        <w:spacing w:after="62" w:line="262"/>
        <w:ind w:left="172"/>
      </w:pPr>
      <w:r>
        <w:t xml:space="preserve">The employee who requested an external party's access. Confirms at each review that the access is still required.</w:t>
      </w:r>
    </w:p>
    <w:p>
      <w:pPr>
        <w:keepNext/>
        <w:keepLines/>
        <w:pBdr>
          <w:top w:val="single" w:color="D4DAE0" w:sz="4" w:space="9"/>
        </w:pBdr>
        <w:spacing w:after="46" w:before="170"/>
      </w:pPr>
      <w:r>
        <w:rPr>
          <w:b/>
          <w:bCs/>
          <w:color w:val="2E5C7A"/>
          <w:sz w:val="21"/>
          <w:szCs w:val="21"/>
        </w:rPr>
        <w:t xml:space="preserve">All account holders</w:t>
      </w:r>
    </w:p>
    <w:p>
      <w:pPr>
        <w:spacing w:after="62" w:line="262"/>
        <w:ind w:left="172"/>
      </w:pPr>
      <w:r>
        <w:t xml:space="preserve">Register the authenticators required by this standard, never approve a sign-in prompt they did not initiate, report any unexpected prompt and any lost or stolen authenticator to the service desk immediately, and never share credentials or authenticators.</w:t>
      </w:r>
    </w:p>
    <w:p>
      <w:pPr>
        <w:spacing w:after="60" w:line="120"/>
      </w:pPr>
      <w:r>
        <w:rPr>
          <w:sz w:val="4"/>
          <w:szCs w:val="4"/>
        </w:rPr>
        <w:t xml:space="preserve"/>
      </w:r>
    </w:p>
    <w:p>
      <w:pPr>
        <w:pStyle w:val="Heading1"/>
        <w:keepNext/>
        <w:keepLines/>
        <w:pBdr>
          <w:bottom w:val="single" w:color="D4DAE0" w:sz="4" w:space="4"/>
        </w:pBdr>
        <w:spacing w:after="140" w:before="300"/>
      </w:pPr>
      <w:bookmarkStart w:name="_RG0008" w:id="1"/>
      <w:r>
        <w:t xml:space="preserve">4.  Account inventory and coverage reconciliation</w:t>
      </w:r>
      <w:bookmarkEnd w:id="1"/>
    </w:p>
    <w:p>
      <w:pPr>
        <w:spacing w:after="130" w:line="262"/>
      </w:pPr>
      <w:r>
        <w:t xml:space="preserve">Coverage cannot be shown without a denominator. The organization maintains an inventory of every enabled account, and reconciles that inventory against the authentication methods and policies that apply to each account, monthly and on each occasion an assessment requests it.</w:t>
      </w:r>
    </w:p>
    <w:p>
      <w:pPr>
        <w:spacing w:after="60" w:line="120"/>
      </w:pPr>
      <w:r>
        <w:rPr>
          <w:sz w:val="4"/>
          <w:szCs w:val="4"/>
        </w:rPr>
        <w:t xml:space="preserve"/>
      </w:r>
    </w:p>
    <w:p>
      <w:pPr>
        <w:pStyle w:val="Heading2"/>
        <w:keepNext/>
        <w:keepLines/>
        <w:spacing w:after="90" w:before="220"/>
      </w:pPr>
      <w:bookmarkStart w:name="_RG0009" w:id="1"/>
      <w:r>
        <w:t xml:space="preserve">4.1  The inventory</w:t>
      </w:r>
      <w:bookmarkEnd w:id="1"/>
    </w:p>
    <w:p>
      <w:pPr>
        <w:spacing w:after="130" w:line="262"/>
      </w:pPr>
      <w:r>
        <w:t xml:space="preserve">The inventory is an export of every enabled account in the identity provider plus a maintained list of accounts on systems that authenticate on their own. For each account it records the account type from section 1.1, the owner, whether it can sign in interactively, the authentication methods registered, the policies that require a second factor for it, and any exception reference.</w:t>
      </w:r>
    </w:p>
    <w:p>
      <w:pPr>
        <w:spacing w:after="130" w:line="262"/>
      </w:pPr>
      <w:r>
        <w:t xml:space="preserve">Disabled accounts are not in the coverage population but are counted separately, so that an account disabled to pass a reconciliation and later re-enabled is visible. An account re-enabled after being disabled is re-reconciled before its next sign-in is permitted.</w:t>
      </w:r>
    </w:p>
    <w:p>
      <w:pPr>
        <w:spacing w:after="60" w:line="120"/>
      </w:pPr>
      <w:r>
        <w:rPr>
          <w:sz w:val="4"/>
          <w:szCs w:val="4"/>
        </w:rPr>
        <w:t xml:space="preserve"/>
      </w:r>
    </w:p>
    <w:p>
      <w:pPr>
        <w:pStyle w:val="Heading2"/>
        <w:keepNext/>
        <w:keepLines/>
        <w:spacing w:after="90" w:before="220"/>
      </w:pPr>
      <w:bookmarkStart w:name="_RG0010" w:id="1"/>
      <w:r>
        <w:t xml:space="preserve">4.2  Monthly reconciliation</w:t>
      </w:r>
      <w:bookmarkEnd w:id="1"/>
    </w:p>
    <w:p>
      <w:pPr>
        <w:spacing w:after="130" w:line="262"/>
      </w:pPr>
      <w:r>
        <w:t xml:space="preserve">The identity administrator performs the reconciliation in the first ten working days of each month and records it on the form in Appendix A.</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Export every enabled account from the identity provider with account type, creation date, last sign-in date and role assignments.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Account export, dated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Export the registered authentication methods for every enabled account.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Authentication methods export, dated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Export every access policy that requires a second factor or blocks legacy authentication, including state, included users and groups, and excluded users and groups.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Policy export showing state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For each account, determine whether an enforced policy requires a second factor on every interactive sign-in path. An account is covered only if a policy in the On state includes it and no exclusion removes it.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Coverage column in Appendix A</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List every account not covered and match each to an approved exception in the exception register. Any uncovered account without a current exception is a finding.</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Uncovered accounts list with exception references</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Confirm from the sign-in log that no successful legacy authentication sign-in occurred in the period, and that no covered account completed a single-factor interactive sign-in.</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Sign-in log query and result count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Raise a remediation action for every finding, with an owner and a date not later than 14 days ahead for a workforce account and 2 working days for a privileged account.</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Remediation actions logged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Submit the completed reconciliation to the standard owner.</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Signed Appendix A record</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NUMBER THAT MATTERS</w:t>
            </w:r>
          </w:p>
          <w:p>
            <w:pPr>
              <w:spacing w:after="0" w:line="262"/>
            </w:pPr>
            <w:r>
              <w:t xml:space="preserve">The coverage figure is enforced accounts divided by all enabled accounts able to sign in interactively, with excepted accounts counted as uncovered and listed by name. A figure calculated against users who have registered a method, or against licensed users only, overstates coverage and is not reported as the coverage figure.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11" w:id="1"/>
      <w:r>
        <w:t xml:space="preserve">5.  Authenticator types and permitted use</w:t>
      </w:r>
      <w:bookmarkEnd w:id="1"/>
    </w:p>
    <w:p>
      <w:pPr>
        <w:spacing w:after="130" w:line="262"/>
      </w:pPr>
      <w:r>
        <w:t xml:space="preserve">Authenticators are ranked by their resistance to the attacks used against them in practice: phishing pages that relay a code in real time, repeated push prompts, interception or porting of a phone number, and theft of a device. The ranking follows the order set out in the US Cybersecurity and Infrastructure Security Agency's guidance on phishing-resistant MFA, which places FIDO and certificate-based methods above app-based methods and SMS and voice last.</w:t>
      </w:r>
    </w:p>
    <w:p>
      <w:pPr>
        <w:spacing w:after="60" w:line="120"/>
      </w:pPr>
      <w:r>
        <w:rPr>
          <w:sz w:val="4"/>
          <w:szCs w:val="4"/>
        </w:rPr>
        <w:t xml:space="preserve"/>
      </w:r>
    </w:p>
    <w:p>
      <w:pPr>
        <w:pStyle w:val="Heading2"/>
        <w:keepNext/>
        <w:keepLines/>
        <w:spacing w:after="90" w:before="220"/>
      </w:pPr>
      <w:bookmarkStart w:name="_RG0012" w:id="1"/>
      <w:r>
        <w:t xml:space="preserve">5.1  Ranking</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779"/>
        <w:gridCol w:w="4483"/>
        <w:gridCol w:w="1364"/>
        <w:gridCol w:w="3120"/>
      </w:tblGrid>
      <w:tr>
        <w:trPr>
          <w:cantSplit/>
          <w:tblHeader/>
        </w:trPr>
        <w:tc>
          <w:tcPr>
            <w:tcW w:type="dxa" w:w="77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Rank</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Authenticator type</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Phishing resistant</w:t>
            </w:r>
          </w:p>
        </w:tc>
        <w:tc>
          <w:tcPr>
            <w:tcW w:type="dxa" w:w="312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Permitted for</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FIDO2 security keys and passkeys, including device-bound platform authenticators such as Windows Hello for Business. Certificate-based authentication using a smart card or a certificate held in protected hardware.</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Yes</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All accounts. Required for privileged and emergency access accounts.</w:t>
            </w: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Authenticator app push notification with number matching, where the user must enter a value shown on the sign-in screen into the app before approving.</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Workforce, guest and third-party accounts. Not permitted as the sole method for privileged accounts.</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Time-based one-time passcode from an authenticator app or hardware token.</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Workforce, guest and third-party accounts, and as a backup method. Not permitted for privileged accounts.</w:t>
            </w: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Push notification that asks only for approval, with no value to transfer.</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Not permitted for any account.</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sz w:val="17"/>
                <w:szCs w:val="17"/>
              </w:rPr>
              <w:t xml:space="preserve">5</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One-time code sent by SMS or delivered by voice call.</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No</w:t>
            </w:r>
          </w:p>
        </w:tc>
        <w:tc>
          <w:tcPr>
            <w:tcW w:type="dxa" w:w="3120"/>
            <w:shd w:fill="FFFFFF" w:color="auto" w:val="clear"/>
            <w:tcMar>
              <w:top w:type="dxa" w:w="70"/>
              <w:left w:type="dxa" w:w="100"/>
              <w:bottom w:type="dxa" w:w="70"/>
              <w:right w:type="dxa" w:w="100"/>
            </w:tcMar>
            <w:vAlign w:val="top"/>
          </w:tcPr>
          <w:p>
            <w:pPr>
              <w:spacing w:after="0" w:before="0" w:line="252"/>
            </w:pPr>
            <w:r>
              <w:rPr>
                <w:sz w:val="17"/>
                <w:szCs w:val="17"/>
              </w:rPr>
              <w:t xml:space="preserve">Restricted fallback only, under section 5.3.</w:t>
            </w: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sz w:val="17"/>
                <w:szCs w:val="17"/>
              </w:rPr>
              <w:t xml:space="preserve">6</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Email one-time code, security questions, or any knowledge-based method.</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No</w:t>
            </w:r>
          </w:p>
        </w:tc>
        <w:tc>
          <w:tcPr>
            <w:tcW w:type="dxa" w:w="3120"/>
            <w:shd w:fill="F2F4F6" w:color="auto" w:val="clear"/>
            <w:tcMar>
              <w:top w:type="dxa" w:w="70"/>
              <w:left w:type="dxa" w:w="100"/>
              <w:bottom w:type="dxa" w:w="70"/>
              <w:right w:type="dxa" w:w="100"/>
            </w:tcMar>
            <w:vAlign w:val="top"/>
          </w:tcPr>
          <w:p>
            <w:pPr>
              <w:spacing w:after="0" w:before="0" w:line="252"/>
            </w:pPr>
            <w:r>
              <w:rPr>
                <w:sz w:val="17"/>
                <w:szCs w:val="17"/>
              </w:rPr>
              <w:t xml:space="preserve">Not permitted as a second factor for any organization account. Email codes are permitted only where a guest platform uses them to verify an external identity that has no other identity provider, under section 6.3.</w:t>
            </w:r>
          </w:p>
        </w:tc>
      </w:tr>
    </w:tbl>
    <w:p>
      <w:pPr>
        <w:spacing w:after="120" w:line="120"/>
      </w:pPr>
      <w:r>
        <w:rPr>
          <w:sz w:val="4"/>
          <w:szCs w:val="4"/>
        </w:rPr>
        <w:t xml:space="preserve"/>
      </w:r>
    </w:p>
    <w:p>
      <w:pPr>
        <w:spacing w:after="130" w:line="262"/>
      </w:pPr>
      <w:r>
        <w:t xml:space="preserve">Number matching is required for push because NIST SP 800-63B-4 no longer accepts an out-of-band authenticator that only asks the user to approve: the user must transfer a secret from the sign-in screen to the device, so that approving a request the user did not start requires knowing what is on the attacker's screen.</w:t>
      </w:r>
    </w:p>
    <w:p>
      <w:pPr>
        <w:spacing w:after="60" w:line="120"/>
      </w:pPr>
      <w:r>
        <w:rPr>
          <w:sz w:val="4"/>
          <w:szCs w:val="4"/>
        </w:rPr>
        <w:t xml:space="preserve"/>
      </w:r>
    </w:p>
    <w:p>
      <w:pPr>
        <w:pStyle w:val="Heading2"/>
        <w:keepNext/>
        <w:keepLines/>
        <w:spacing w:after="90" w:before="220"/>
      </w:pPr>
      <w:bookmarkStart w:name="_RG0013" w:id="1"/>
      <w:r>
        <w:t xml:space="preserve">5.2  Registration of authenticators</w:t>
      </w:r>
      <w:bookmarkEnd w:id="1"/>
    </w:p>
    <w:p>
      <w:pPr>
        <w:spacing w:after="130" w:line="262"/>
      </w:pPr>
      <w:r>
        <w:t xml:space="preserve">An authenticator is registered to an account only after the account holder has authenticated with an existing authenticator of equal or higher strength, or through the initial registration or recovery procedure in section 14. The first authenticator for a new account is registered using a time-limited, single-use registration credential issued after identity verification, never by allowing a password-only sign-in to register any method the user chooses.</w:t>
      </w:r>
    </w:p>
    <w:p>
      <w:pPr>
        <w:pStyle w:val="ListParagraph"/>
        <w:numPr>
          <w:ilvl w:val="0"/>
          <w:numId w:val="2"/>
        </w:numPr>
        <w:spacing w:after="60" w:line="262"/>
      </w:pPr>
      <w:r>
        <w:t xml:space="preserve">Each account holder registers at least two authenticators, so that loss of one does not force a recovery. For privileged accounts both are phishing-resistant: two security keys, or one security key and one platform authenticator.</w:t>
      </w:r>
    </w:p>
    <w:p>
      <w:pPr>
        <w:pStyle w:val="ListParagraph"/>
        <w:numPr>
          <w:ilvl w:val="0"/>
          <w:numId w:val="2"/>
        </w:numPr>
        <w:spacing w:after="60" w:line="262"/>
      </w:pPr>
      <w:r>
        <w:t xml:space="preserve">Registration of any new authenticator generates a notification to the account holder through a channel other than the one used to register it, and an alert under section 15.</w:t>
      </w:r>
    </w:p>
    <w:p>
      <w:pPr>
        <w:pStyle w:val="ListParagraph"/>
        <w:numPr>
          <w:ilvl w:val="0"/>
          <w:numId w:val="2"/>
        </w:numPr>
        <w:spacing w:after="60" w:line="262"/>
      </w:pPr>
      <w:r>
        <w:t xml:space="preserve">Authenticators that are not permitted by section 5.1 are disabled in the identity provider's method settings, not merely discouraged. A method that is enabled in the tenant can be registered by an attacker who has the password.</w:t>
      </w:r>
    </w:p>
    <w:p>
      <w:pPr>
        <w:pStyle w:val="ListParagraph"/>
        <w:numPr>
          <w:ilvl w:val="0"/>
          <w:numId w:val="2"/>
        </w:numPr>
        <w:spacing w:after="60" w:line="262"/>
      </w:pPr>
      <w:r>
        <w:t xml:space="preserve">New accounts are given a registration window of not more than 14 days. After the window the account cannot sign in until an authenticator is registered under supervision.</w:t>
      </w:r>
    </w:p>
    <w:p>
      <w:pPr>
        <w:spacing w:after="60" w:line="120"/>
      </w:pPr>
      <w:r>
        <w:rPr>
          <w:sz w:val="4"/>
          <w:szCs w:val="4"/>
        </w:rPr>
        <w:t xml:space="preserve"/>
      </w:r>
    </w:p>
    <w:p>
      <w:pPr>
        <w:pStyle w:val="Heading2"/>
        <w:keepNext/>
        <w:keepLines/>
        <w:spacing w:after="90" w:before="220"/>
      </w:pPr>
      <w:bookmarkStart w:name="_RG0014" w:id="1"/>
      <w:r>
        <w:t xml:space="preserve">5.3  SMS and voice as a restricted fallback</w:t>
      </w:r>
      <w:bookmarkEnd w:id="1"/>
    </w:p>
    <w:p>
      <w:pPr>
        <w:spacing w:after="130" w:line="262"/>
      </w:pPr>
      <w:r>
        <w:t xml:space="preserve">NIST SP 800-63B-4 treats use of the public telephone network for out-of-band authentication as restricted and requires that an alternative authenticator be available to every user. This standard applies that restriction as follows.</w:t>
      </w:r>
    </w:p>
    <w:p>
      <w:pPr>
        <w:pStyle w:val="ListParagraph"/>
        <w:numPr>
          <w:ilvl w:val="0"/>
          <w:numId w:val="2"/>
        </w:numPr>
        <w:spacing w:after="60" w:line="262"/>
      </w:pPr>
      <w:r>
        <w:t xml:space="preserve">SMS and voice are not permitted for privileged, emergency access or third-party administrative accounts under any circumstances.</w:t>
      </w:r>
    </w:p>
    <w:p>
      <w:pPr>
        <w:pStyle w:val="ListParagraph"/>
        <w:numPr>
          <w:ilvl w:val="0"/>
          <w:numId w:val="2"/>
        </w:numPr>
        <w:spacing w:after="60" w:line="262"/>
      </w:pPr>
      <w:r>
        <w:t xml:space="preserve">For a workforce account, SMS or voice is permitted only as a registered backup when the account holder cannot use an authenticator app or security key, and only with an approved exception under section 16 stating the reason.</w:t>
      </w:r>
    </w:p>
    <w:p>
      <w:pPr>
        <w:pStyle w:val="ListParagraph"/>
        <w:numPr>
          <w:ilvl w:val="0"/>
          <w:numId w:val="2"/>
        </w:numPr>
        <w:spacing w:after="60" w:line="262"/>
      </w:pPr>
      <w:r>
        <w:t xml:space="preserve">SMS or voice is never the only method registered on an account.</w:t>
      </w:r>
    </w:p>
    <w:p>
      <w:pPr>
        <w:pStyle w:val="ListParagraph"/>
        <w:numPr>
          <w:ilvl w:val="0"/>
          <w:numId w:val="2"/>
        </w:numPr>
        <w:spacing w:after="60" w:line="262"/>
      </w:pPr>
      <w:r>
        <w:t xml:space="preserve">The organization reviews every account with SMS or voice registered at each quarterly reconciliation, and removes the method where the reason has lapsed.</w:t>
      </w:r>
    </w:p>
    <w:p>
      <w:pPr>
        <w:pStyle w:val="ListParagraph"/>
        <w:numPr>
          <w:ilvl w:val="0"/>
          <w:numId w:val="2"/>
        </w:numPr>
        <w:spacing w:after="60" w:line="262"/>
      </w:pPr>
      <w:r>
        <w:t xml:space="preserve">Account holders with SMS or voice registered are told that their mobile carrier account should carry a port-out PIN or equivalent protection against number transfer.</w:t>
      </w:r>
    </w:p>
    <w:p>
      <w:pPr>
        <w:spacing w:after="60" w:line="120"/>
      </w:pPr>
      <w:r>
        <w:rPr>
          <w:sz w:val="4"/>
          <w:szCs w:val="4"/>
        </w:rPr>
        <w:t xml:space="preserve"/>
      </w:r>
    </w:p>
    <w:p>
      <w:pPr>
        <w:pStyle w:val="Heading1"/>
        <w:keepNext/>
        <w:keepLines/>
        <w:pBdr>
          <w:bottom w:val="single" w:color="D4DAE0" w:sz="4" w:space="4"/>
        </w:pBdr>
        <w:spacing w:after="140" w:before="300"/>
      </w:pPr>
      <w:bookmarkStart w:name="_RG0015" w:id="1"/>
      <w:r>
        <w:t xml:space="preserve">6.  Requirements by account type</w:t>
      </w:r>
      <w:bookmarkEnd w:id="1"/>
    </w:p>
    <w:p>
      <w:pPr>
        <w:spacing w:after="130" w:line="262"/>
      </w:pPr>
      <w:r>
        <w:t xml:space="preserve">The requirements below are minimums. Each is enforced by an access policy or an identity provider setting whose export is named in section 17.</w:t>
      </w:r>
    </w:p>
    <w:p>
      <w:pPr>
        <w:spacing w:after="60" w:line="120"/>
      </w:pPr>
      <w:r>
        <w:rPr>
          <w:sz w:val="4"/>
          <w:szCs w:val="4"/>
        </w:rPr>
        <w:t xml:space="preserve"/>
      </w:r>
    </w:p>
    <w:p>
      <w:pPr>
        <w:pStyle w:val="Heading2"/>
        <w:keepNext/>
        <w:keepLines/>
        <w:spacing w:after="90" w:before="220"/>
      </w:pPr>
      <w:bookmarkStart w:name="_RG0016" w:id="1"/>
      <w:r>
        <w:t xml:space="preserve">6.1  Workforce accounts</w:t>
      </w:r>
      <w:bookmarkEnd w:id="1"/>
    </w:p>
    <w:p>
      <w:pPr>
        <w:pStyle w:val="ListParagraph"/>
        <w:numPr>
          <w:ilvl w:val="0"/>
          <w:numId w:val="2"/>
        </w:numPr>
        <w:spacing w:after="60" w:line="262"/>
      </w:pPr>
      <w:r>
        <w:t xml:space="preserve">A second factor of rank 1, 2 or 3 is required on every interactive sign-in to every application, from every location and every device. Trusted network locations do not remove the requirement.</w:t>
      </w:r>
    </w:p>
    <w:p>
      <w:pPr>
        <w:pStyle w:val="ListParagraph"/>
        <w:numPr>
          <w:ilvl w:val="0"/>
          <w:numId w:val="2"/>
        </w:numPr>
        <w:spacing w:after="60" w:line="262"/>
      </w:pPr>
      <w:r>
        <w:t xml:space="preserve">The requirement is applied by a policy that targets all users and all applications, with exclusions only for emergency access accounts and approved exceptions, rather than by policies that list users or applications individually. A policy that lists people misses the next person hired.</w:t>
      </w:r>
    </w:p>
    <w:p>
      <w:pPr>
        <w:pStyle w:val="ListParagraph"/>
        <w:numPr>
          <w:ilvl w:val="0"/>
          <w:numId w:val="2"/>
        </w:numPr>
        <w:spacing w:after="60" w:line="262"/>
      </w:pPr>
      <w:r>
        <w:t xml:space="preserve">Workforce accounts are moved to phishing-resistant methods progressively, starting with staff who approve payments, change supplier bank details, or hold access to bulk personal data.</w:t>
      </w:r>
    </w:p>
    <w:p>
      <w:pPr>
        <w:spacing w:after="60" w:line="120"/>
      </w:pPr>
      <w:r>
        <w:rPr>
          <w:sz w:val="4"/>
          <w:szCs w:val="4"/>
        </w:rPr>
        <w:t xml:space="preserve"/>
      </w:r>
    </w:p>
    <w:p>
      <w:pPr>
        <w:pStyle w:val="Heading2"/>
        <w:keepNext/>
        <w:keepLines/>
        <w:spacing w:after="90" w:before="220"/>
      </w:pPr>
      <w:bookmarkStart w:name="_RG0017" w:id="1"/>
      <w:r>
        <w:t xml:space="preserve">6.2  Privileged accounts</w:t>
      </w:r>
      <w:bookmarkEnd w:id="1"/>
    </w:p>
    <w:p>
      <w:pPr>
        <w:spacing w:after="130" w:line="262"/>
      </w:pPr>
      <w:r>
        <w:t xml:space="preserve">Privileged accounts are the population an attacker most wants and the one most often found outside the policy, because they were created before it or are excluded to avoid lockout.</w:t>
      </w:r>
    </w:p>
    <w:p>
      <w:pPr>
        <w:pStyle w:val="ListParagraph"/>
        <w:numPr>
          <w:ilvl w:val="0"/>
          <w:numId w:val="2"/>
        </w:numPr>
        <w:spacing w:after="60" w:line="262"/>
      </w:pPr>
      <w:r>
        <w:t xml:space="preserve">Every person who performs administration holds a separate privileged account, used only for administration. The privileged account has no mailbox, no license for productivity applications, and is not used to browse the web or read email.</w:t>
      </w:r>
    </w:p>
    <w:p>
      <w:pPr>
        <w:pStyle w:val="ListParagraph"/>
        <w:numPr>
          <w:ilvl w:val="0"/>
          <w:numId w:val="2"/>
        </w:numPr>
        <w:spacing w:after="60" w:line="262"/>
      </w:pPr>
      <w:r>
        <w:t xml:space="preserve">Privileged accounts are cloud-only in the identity provider. They are not synchronized from an on-premises directory, so that compromise of that directory does not yield cloud administration.</w:t>
      </w:r>
    </w:p>
    <w:p>
      <w:pPr>
        <w:pStyle w:val="ListParagraph"/>
        <w:numPr>
          <w:ilvl w:val="0"/>
          <w:numId w:val="2"/>
        </w:numPr>
        <w:spacing w:after="60" w:line="262"/>
      </w:pPr>
      <w:r>
        <w:t xml:space="preserve">Every sign-in by a privileged account requires a phishing-resistant authenticator of rank 1. The requirement is enforced by a policy that targets privileged roles, not a list of named accounts.</w:t>
      </w:r>
    </w:p>
    <w:p>
      <w:pPr>
        <w:pStyle w:val="ListParagraph"/>
        <w:numPr>
          <w:ilvl w:val="0"/>
          <w:numId w:val="2"/>
        </w:numPr>
        <w:spacing w:after="60" w:line="262"/>
      </w:pPr>
      <w:r>
        <w:t xml:space="preserve">No account holds a privileged role permanently where the identity provider supports just-in-time activation. Roles are made eligible and activated for a limited period, not more than 8 hours, with a reason recorded at activation. Emergency access accounts are the only standing exception.</w:t>
      </w:r>
    </w:p>
    <w:p>
      <w:pPr>
        <w:pStyle w:val="ListParagraph"/>
        <w:numPr>
          <w:ilvl w:val="0"/>
          <w:numId w:val="2"/>
        </w:numPr>
        <w:spacing w:after="60" w:line="262"/>
      </w:pPr>
      <w:r>
        <w:t xml:space="preserve">Activation of the most powerful roles, including the identity provider's global or super administrator role, requires approval by a second administrator or the standard owner.</w:t>
      </w:r>
    </w:p>
    <w:p>
      <w:pPr>
        <w:pStyle w:val="ListParagraph"/>
        <w:numPr>
          <w:ilvl w:val="0"/>
          <w:numId w:val="2"/>
        </w:numPr>
        <w:spacing w:after="60" w:line="262"/>
      </w:pPr>
      <w:r>
        <w:t xml:space="preserve">Privileged sign-in is permitted only from devices managed by the organization and compliant with its device baseline, or from a dedicated administrative workstation where one is provided.</w:t>
      </w:r>
    </w:p>
    <w:p>
      <w:pPr>
        <w:pStyle w:val="ListParagraph"/>
        <w:numPr>
          <w:ilvl w:val="0"/>
          <w:numId w:val="2"/>
        </w:numPr>
        <w:spacing w:after="60" w:line="262"/>
      </w:pPr>
      <w:r>
        <w:t xml:space="preserve">The number of accounts holding the identity provider's highest administrative role is kept to the minimum needed for cover, not more than four excluding emergency access accounts.</w:t>
      </w:r>
    </w:p>
    <w:p>
      <w:pPr>
        <w:pStyle w:val="ListParagraph"/>
        <w:numPr>
          <w:ilvl w:val="0"/>
          <w:numId w:val="2"/>
        </w:numPr>
        <w:spacing w:after="60" w:line="262"/>
      </w:pPr>
      <w:r>
        <w:t xml:space="preserve">Membership of every privileged role is reviewed at each monthly reconciliation. Any assignment that cannot be traced to a request is removed and investigated.</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WHERE ASSESSMENTS FIND THE GAP</w:t>
            </w:r>
          </w:p>
          <w:p>
            <w:pPr>
              <w:spacing w:after="0" w:line="262"/>
            </w:pPr>
            <w:r>
              <w:t xml:space="preserve">The most common uncovered privileged account is not an administrator who refused MFA. It is an account created for a migration, a supplier or a test, given a role, excluded from the policy so the work could proceed, and never returned. The monthly role review exists to find it.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8" w:id="1"/>
      <w:r>
        <w:t xml:space="preserve">6.3  Guest, external and third-party accounts</w:t>
      </w:r>
      <w:bookmarkEnd w:id="1"/>
    </w:p>
    <w:p>
      <w:pPr>
        <w:pStyle w:val="ListParagraph"/>
        <w:numPr>
          <w:ilvl w:val="0"/>
          <w:numId w:val="2"/>
        </w:numPr>
        <w:spacing w:after="60" w:line="262"/>
      </w:pPr>
      <w:r>
        <w:t xml:space="preserve">Guests and external users are subject to the same second-factor requirement as workforce accounts for every resource they can reach.</w:t>
      </w:r>
    </w:p>
    <w:p>
      <w:pPr>
        <w:pStyle w:val="ListParagraph"/>
        <w:numPr>
          <w:ilvl w:val="0"/>
          <w:numId w:val="2"/>
        </w:numPr>
        <w:spacing w:after="60" w:line="262"/>
      </w:pPr>
      <w:r>
        <w:t xml:space="preserve">The organization either requires the guest to complete a second factor in the organization's own identity provider, or accepts a second factor completed in the guest's home organization only where that organization's identity provider passes a verifiable claim that it was completed and the organization has recorded a decision to trust it.</w:t>
      </w:r>
    </w:p>
    <w:p>
      <w:pPr>
        <w:pStyle w:val="ListParagraph"/>
        <w:numPr>
          <w:ilvl w:val="0"/>
          <w:numId w:val="2"/>
        </w:numPr>
        <w:spacing w:after="60" w:line="262"/>
      </w:pPr>
      <w:r>
        <w:t xml:space="preserve">Third-party administrative access is held through named accounts issued to named individuals at the supplier, never through a shared supplier account. Each is a privileged account under section 6.2 and requires a phishing-resistant authenticator.</w:t>
      </w:r>
    </w:p>
    <w:p>
      <w:pPr>
        <w:pStyle w:val="ListParagraph"/>
        <w:numPr>
          <w:ilvl w:val="0"/>
          <w:numId w:val="2"/>
        </w:numPr>
        <w:spacing w:after="60" w:line="262"/>
      </w:pPr>
      <w:r>
        <w:t xml:space="preserve">Delegated administration relationships with managed service providers are inventoried, scoped to the roles needed, time limited where the platform supports it, and reviewed quarterly by the standard owner.</w:t>
      </w:r>
    </w:p>
    <w:p>
      <w:pPr>
        <w:pStyle w:val="ListParagraph"/>
        <w:numPr>
          <w:ilvl w:val="0"/>
          <w:numId w:val="2"/>
        </w:numPr>
        <w:spacing w:after="60" w:line="262"/>
      </w:pPr>
      <w:r>
        <w:t xml:space="preserve">Guest accounts with no sign-in for 90 days are disabled and removed after a further 30 days, under the Joiner, Mover and Leaver Standard.</w:t>
      </w:r>
    </w:p>
    <w:p>
      <w:pPr>
        <w:pStyle w:val="ListParagraph"/>
        <w:numPr>
          <w:ilvl w:val="0"/>
          <w:numId w:val="2"/>
        </w:numPr>
        <w:spacing w:after="60" w:line="262"/>
      </w:pPr>
      <w:r>
        <w:t xml:space="preserve">The sponsor of each guest and third-party account confirms the need for it at each quarterly review. An account with no confirmation is disabled.</w:t>
      </w:r>
    </w:p>
    <w:p>
      <w:pPr>
        <w:spacing w:after="60" w:line="120"/>
      </w:pPr>
      <w:r>
        <w:rPr>
          <w:sz w:val="4"/>
          <w:szCs w:val="4"/>
        </w:rPr>
        <w:t xml:space="preserve"/>
      </w:r>
    </w:p>
    <w:p>
      <w:pPr>
        <w:pStyle w:val="Heading2"/>
        <w:keepNext/>
        <w:keepLines/>
        <w:spacing w:after="90" w:before="220"/>
      </w:pPr>
      <w:bookmarkStart w:name="_RG0019" w:id="1"/>
      <w:r>
        <w:t xml:space="preserve">6.4  Systems that authenticate on their own</w:t>
      </w:r>
      <w:bookmarkEnd w:id="1"/>
    </w:p>
    <w:p>
      <w:pPr>
        <w:spacing w:after="130" w:line="262"/>
      </w:pPr>
      <w:r>
        <w:t xml:space="preserve">A system that does not sign in through the identity provider is outside every policy in this standard unless it is brought under it. The application or system owner for each such system does one of the following, in this order of preference:</w:t>
      </w:r>
    </w:p>
    <w:p>
      <w:pPr>
        <w:pStyle w:val="ListParagraph"/>
        <w:numPr>
          <w:ilvl w:val="0"/>
          <w:numId w:val="3"/>
        </w:numPr>
        <w:spacing w:after="60" w:line="262"/>
      </w:pPr>
      <w:r>
        <w:t xml:space="preserve">Connects the system to the identity provider through single sign-on, disables local sign-in for all accounts other than one documented local recovery account, and records the change.</w:t>
      </w:r>
    </w:p>
    <w:p>
      <w:pPr>
        <w:pStyle w:val="ListParagraph"/>
        <w:numPr>
          <w:ilvl w:val="0"/>
          <w:numId w:val="3"/>
        </w:numPr>
        <w:spacing w:after="60" w:line="262"/>
      </w:pPr>
      <w:r>
        <w:t xml:space="preserve">Where single sign-on is not available, enables the system's own multi-factor authentication for every account, with authenticator types permitted by section 5.1, and supplies an export or screenshot of the setting and the account list each quarter.</w:t>
      </w:r>
    </w:p>
    <w:p>
      <w:pPr>
        <w:pStyle w:val="ListParagraph"/>
        <w:numPr>
          <w:ilvl w:val="0"/>
          <w:numId w:val="3"/>
        </w:numPr>
        <w:spacing w:after="60" w:line="262"/>
      </w:pPr>
      <w:r>
        <w:t xml:space="preserve">Where the system supports neither, places it behind a remote access path that requires a second factor and restricts its sign-in interface to that path, records an exception under section 16, and sets a replacement or upgrade date.</w:t>
      </w:r>
    </w:p>
    <w:p>
      <w:pPr>
        <w:spacing w:after="130" w:line="262"/>
      </w:pPr>
      <w:r>
        <w:t xml:space="preserve">Local recovery accounts on such systems have a password of at least 15 characters, stored in the organization's password vault, and are recorded in the inventory with their owner.</w:t>
      </w:r>
    </w:p>
    <w:p>
      <w:pPr>
        <w:spacing w:after="60" w:line="120"/>
      </w:pPr>
      <w:r>
        <w:rPr>
          <w:sz w:val="4"/>
          <w:szCs w:val="4"/>
        </w:rPr>
        <w:t xml:space="preserve"/>
      </w:r>
    </w:p>
    <w:p>
      <w:pPr>
        <w:pStyle w:val="Heading1"/>
        <w:keepNext/>
        <w:keepLines/>
        <w:pBdr>
          <w:bottom w:val="single" w:color="D4DAE0" w:sz="4" w:space="4"/>
        </w:pBdr>
        <w:spacing w:after="140" w:before="300"/>
      </w:pPr>
      <w:bookmarkStart w:name="_RG0020" w:id="1"/>
      <w:r>
        <w:t xml:space="preserve">7.  Enforcement, not registration</w:t>
      </w:r>
      <w:bookmarkEnd w:id="1"/>
    </w:p>
    <w:p>
      <w:pPr>
        <w:spacing w:after="130" w:line="262"/>
      </w:pPr>
      <w:r>
        <w:t xml:space="preserve">This section governs the difference between an organization that has multi-factor authentication and one that enforces it. Three states are distinguished, and only the third meets this standard.</w:t>
      </w:r>
    </w:p>
    <w:p>
      <w:pPr>
        <w:keepNext/>
        <w:keepLines/>
        <w:pBdr>
          <w:top w:val="single" w:color="D4DAE0" w:sz="4" w:space="9"/>
        </w:pBdr>
        <w:spacing w:after="46" w:before="110"/>
      </w:pPr>
      <w:r>
        <w:rPr>
          <w:b/>
          <w:bCs/>
          <w:color w:val="2E5C7A"/>
          <w:sz w:val="21"/>
          <w:szCs w:val="21"/>
        </w:rPr>
        <w:t xml:space="preserve">Registered</w:t>
      </w:r>
    </w:p>
    <w:p>
      <w:pPr>
        <w:spacing w:after="62" w:line="262"/>
        <w:ind w:left="172"/>
      </w:pPr>
      <w:r>
        <w:t xml:space="preserve">The account has an authenticator recorded against it. Registration says nothing about whether it is ever requested. An identity provider's registration report shows this state.</w:t>
      </w:r>
    </w:p>
    <w:p>
      <w:pPr>
        <w:keepNext/>
        <w:keepLines/>
        <w:pBdr>
          <w:top w:val="single" w:color="D4DAE0" w:sz="4" w:space="9"/>
        </w:pBdr>
        <w:spacing w:after="46" w:before="170"/>
      </w:pPr>
      <w:r>
        <w:rPr>
          <w:b/>
          <w:bCs/>
          <w:color w:val="2E5C7A"/>
          <w:sz w:val="21"/>
          <w:szCs w:val="21"/>
        </w:rPr>
        <w:t xml:space="preserve">Required by a policy</w:t>
      </w:r>
    </w:p>
    <w:p>
      <w:pPr>
        <w:spacing w:after="62" w:line="262"/>
        <w:ind w:left="172"/>
      </w:pPr>
      <w:r>
        <w:t xml:space="preserve">A policy exists that would require the second factor. It may be in report-only mode, may exclude the account, may not cover the application or protocol the account uses, or may never have been evaluated because the account has not signed in since the policy was created.</w:t>
      </w:r>
    </w:p>
    <w:p>
      <w:pPr>
        <w:keepNext/>
        <w:keepLines/>
        <w:pBdr>
          <w:top w:val="single" w:color="D4DAE0" w:sz="4" w:space="9"/>
        </w:pBdr>
        <w:spacing w:after="46" w:before="170"/>
      </w:pPr>
      <w:r>
        <w:rPr>
          <w:b/>
          <w:bCs/>
          <w:color w:val="2E5C7A"/>
          <w:sz w:val="21"/>
          <w:szCs w:val="21"/>
        </w:rPr>
        <w:t xml:space="preserve">Enforced</w:t>
      </w:r>
    </w:p>
    <w:p>
      <w:pPr>
        <w:spacing w:after="62" w:line="262"/>
        <w:ind w:left="172"/>
      </w:pPr>
      <w:r>
        <w:t xml:space="preserve">A policy in the On state includes the account, no exclusion removes it, every protocol it can use is either covered by that policy or blocked, and the sign-in log shows the second factor satisfied on its interactive sign-ins.</w:t>
      </w:r>
    </w:p>
    <w:p>
      <w:pPr>
        <w:spacing w:after="60" w:line="120"/>
      </w:pPr>
      <w:r>
        <w:rPr>
          <w:sz w:val="4"/>
          <w:szCs w:val="4"/>
        </w:rPr>
        <w:t xml:space="preserve"/>
      </w:r>
    </w:p>
    <w:p>
      <w:pPr>
        <w:pStyle w:val="Heading2"/>
        <w:keepNext/>
        <w:keepLines/>
        <w:spacing w:after="90" w:before="220"/>
      </w:pPr>
      <w:bookmarkStart w:name="_RG0021" w:id="1"/>
      <w:r>
        <w:t xml:space="preserve">7.1  Policy-based enforcement</w:t>
      </w:r>
      <w:bookmarkEnd w:id="1"/>
    </w:p>
    <w:p>
      <w:pPr>
        <w:pStyle w:val="ListParagraph"/>
        <w:numPr>
          <w:ilvl w:val="0"/>
          <w:numId w:val="2"/>
        </w:numPr>
        <w:spacing w:after="60" w:line="262"/>
      </w:pPr>
      <w:r>
        <w:t xml:space="preserve">Second-factor requirements are enforced by conditional or context-aware access policies, or by the identity provider's organization-wide enforcement setting, not by per-user switches set account by account.</w:t>
      </w:r>
    </w:p>
    <w:p>
      <w:pPr>
        <w:pStyle w:val="ListParagraph"/>
        <w:numPr>
          <w:ilvl w:val="0"/>
          <w:numId w:val="2"/>
        </w:numPr>
        <w:spacing w:after="60" w:line="262"/>
      </w:pPr>
      <w:r>
        <w:t xml:space="preserve">Where an identity provider offers both per-user enforcement and policy-based enforcement, the organization uses policy-based enforcement and sets per-user enforcement to its off state, following the platform's guidance. Per-user settings are invisible in a policy export, apply inconsistently to legacy protocols on some platforms, and drift as accounts are created.</w:t>
      </w:r>
    </w:p>
    <w:p>
      <w:pPr>
        <w:pStyle w:val="ListParagraph"/>
        <w:numPr>
          <w:ilvl w:val="0"/>
          <w:numId w:val="2"/>
        </w:numPr>
        <w:spacing w:after="60" w:line="262"/>
      </w:pPr>
      <w:r>
        <w:t xml:space="preserve">Baseline or default security settings offered by a platform may be used where the license does not include configurable policies, provided they enforce a second factor for all users and block legacy authentication. The decision and the license reason are recorded.</w:t>
      </w:r>
    </w:p>
    <w:p>
      <w:pPr>
        <w:spacing w:after="60" w:line="120"/>
      </w:pPr>
      <w:r>
        <w:rPr>
          <w:sz w:val="4"/>
          <w:szCs w:val="4"/>
        </w:rPr>
        <w:t xml:space="preserve"/>
      </w:r>
    </w:p>
    <w:p>
      <w:pPr>
        <w:pStyle w:val="Heading2"/>
        <w:keepNext/>
        <w:keepLines/>
        <w:spacing w:after="90" w:before="220"/>
      </w:pPr>
      <w:bookmarkStart w:name="_RG0022" w:id="1"/>
      <w:r>
        <w:t xml:space="preserve">7.2  Report-only and disabled policies</w:t>
      </w:r>
      <w:bookmarkEnd w:id="1"/>
    </w:p>
    <w:p>
      <w:pPr>
        <w:spacing w:after="130" w:line="262"/>
      </w:pPr>
      <w:r>
        <w:t xml:space="preserve">Report-only mode evaluates a policy and records what it would have done without enforcing it. It is a testing state, not a control.</w:t>
      </w:r>
    </w:p>
    <w:p>
      <w:pPr>
        <w:pStyle w:val="ListParagraph"/>
        <w:numPr>
          <w:ilvl w:val="0"/>
          <w:numId w:val="2"/>
        </w:numPr>
        <w:spacing w:after="60" w:line="262"/>
      </w:pPr>
      <w:r>
        <w:t xml:space="preserve">A new or changed policy may run in report-only mode for not more than 14 days. At the end of that period it is set to On or removed, and the decision is recorded.</w:t>
      </w:r>
    </w:p>
    <w:p>
      <w:pPr>
        <w:pStyle w:val="ListParagraph"/>
        <w:numPr>
          <w:ilvl w:val="0"/>
          <w:numId w:val="2"/>
        </w:numPr>
        <w:spacing w:after="60" w:line="262"/>
      </w:pPr>
      <w:r>
        <w:t xml:space="preserve">Any policy found in report-only mode for longer than 14 days at a reconciliation is a finding.</w:t>
      </w:r>
    </w:p>
    <w:p>
      <w:pPr>
        <w:pStyle w:val="ListParagraph"/>
        <w:numPr>
          <w:ilvl w:val="0"/>
          <w:numId w:val="2"/>
        </w:numPr>
        <w:spacing w:after="60" w:line="262"/>
      </w:pPr>
      <w:r>
        <w:t xml:space="preserve">Policies in the Off state are listed in the reconciliation and either removed or justified. A disabled policy that duplicates an enabled one is removed so that exports are unambiguous.</w:t>
      </w:r>
    </w:p>
    <w:p>
      <w:pPr>
        <w:pStyle w:val="ListParagraph"/>
        <w:numPr>
          <w:ilvl w:val="0"/>
          <w:numId w:val="2"/>
        </w:numPr>
        <w:spacing w:after="60" w:line="262"/>
      </w:pPr>
      <w:r>
        <w:t xml:space="preserve">A report-only policy is never cited as evidence that a requirement is met.</w:t>
      </w:r>
    </w:p>
    <w:p>
      <w:pPr>
        <w:spacing w:after="60" w:line="120"/>
      </w:pPr>
      <w:r>
        <w:rPr>
          <w:sz w:val="4"/>
          <w:szCs w:val="4"/>
        </w:rPr>
        <w:t xml:space="preserve"/>
      </w:r>
    </w:p>
    <w:p>
      <w:pPr>
        <w:pStyle w:val="Heading2"/>
        <w:keepNext/>
        <w:keepLines/>
        <w:spacing w:after="90" w:before="220"/>
      </w:pPr>
      <w:bookmarkStart w:name="_RG0023" w:id="1"/>
      <w:r>
        <w:t xml:space="preserve">7.3  Legacy authentication</w:t>
      </w:r>
      <w:bookmarkEnd w:id="1"/>
    </w:p>
    <w:p>
      <w:pPr>
        <w:spacing w:after="130" w:line="262"/>
      </w:pPr>
      <w:r>
        <w:t xml:space="preserve">Legacy authentication protocols send a username and password with no means of presenting a second factor. They include older mail protocols such as IMAP, POP and authenticated SMTP when used with basic authentication, older mobile mail synchronization, and app passwords. An account covered by a second-factor policy remains exposed if it can still sign in through one of these protocols, because the policy is never asked.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Query the sign-in log for the previous 30 days for successful and failed sign-ins using legacy protocols, grouped by account and client.</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Legacy sign-in query result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For each account still using legacy authentication, identify the device or application and move it to modern authentication, or replace the integration with a workload identity under section 9.</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 with application owner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Migration list with owner and date</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Create a policy that blocks legacy authentication for all users, excluding only emergency access accounts. Run it in report-only mode for not more than 14 days.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Policy export in report-only state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Review the report-only results. Resolve any legitimate dependency found or record it as an exception.</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Report-only result summary</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Set the policy to On. Disable legacy protocols at the service level where the platform allows, so that the block does not depend on one policy alone.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Policy export in On state, service setting export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Disable app passwords for all accounts where the platform allows. Where an app password is unavoidable, it is an exception under section 16.</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Method setting export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At each monthly reconciliation, confirm the legacy sign-in query returns no successful sign-ins.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Query result in Appendix A</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IF ONLY ONE LINE OF THIS IS ADOPTED</w:t>
            </w:r>
          </w:p>
          <w:p>
            <w:pPr>
              <w:spacing w:after="0" w:line="262"/>
            </w:pPr>
            <w:r>
              <w:t xml:space="preserve">Block legacy authentication for every account and confirm it monthly from the sign-in log. A second-factor policy that a protocol can bypass protects the accounts attackers were not going to use.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4" w:id="1"/>
      <w:r>
        <w:t xml:space="preserve">7.4  Exclusions</w:t>
      </w:r>
      <w:bookmarkEnd w:id="1"/>
    </w:p>
    <w:p>
      <w:pPr>
        <w:pStyle w:val="ListParagraph"/>
        <w:numPr>
          <w:ilvl w:val="0"/>
          <w:numId w:val="2"/>
        </w:numPr>
        <w:spacing w:after="60" w:line="262"/>
      </w:pPr>
      <w:r>
        <w:t xml:space="preserve">Every exclusion from a second-factor or legacy-blocking policy is made through a named exclusion group, never by listing an individual account inside a policy.</w:t>
      </w:r>
    </w:p>
    <w:p>
      <w:pPr>
        <w:pStyle w:val="ListParagraph"/>
        <w:numPr>
          <w:ilvl w:val="0"/>
          <w:numId w:val="2"/>
        </w:numPr>
        <w:spacing w:after="60" w:line="262"/>
      </w:pPr>
      <w:r>
        <w:t xml:space="preserve">Membership of each exclusion group is limited to emergency access accounts and accounts with a current exception under section 16.</w:t>
      </w:r>
    </w:p>
    <w:p>
      <w:pPr>
        <w:pStyle w:val="ListParagraph"/>
        <w:numPr>
          <w:ilvl w:val="0"/>
          <w:numId w:val="2"/>
        </w:numPr>
        <w:spacing w:after="60" w:line="262"/>
      </w:pPr>
      <w:r>
        <w:t xml:space="preserve">Any change to the membership of an exclusion group generates an alert under section 15.</w:t>
      </w:r>
    </w:p>
    <w:p>
      <w:pPr>
        <w:pStyle w:val="ListParagraph"/>
        <w:numPr>
          <w:ilvl w:val="0"/>
          <w:numId w:val="2"/>
        </w:numPr>
        <w:spacing w:after="60" w:line="262"/>
      </w:pPr>
      <w:r>
        <w:t xml:space="preserve">Exclusion group membership is reconciled against the exception register monthly. A member with no current exception is removed the same day.</w:t>
      </w:r>
    </w:p>
    <w:p>
      <w:pPr>
        <w:spacing w:after="60" w:line="120"/>
      </w:pPr>
      <w:r>
        <w:rPr>
          <w:sz w:val="4"/>
          <w:szCs w:val="4"/>
        </w:rPr>
        <w:t xml:space="preserve"/>
      </w:r>
    </w:p>
    <w:p>
      <w:pPr>
        <w:pStyle w:val="Heading1"/>
        <w:keepNext/>
        <w:keepLines/>
        <w:pBdr>
          <w:bottom w:val="single" w:color="D4DAE0" w:sz="4" w:space="4"/>
        </w:pBdr>
        <w:spacing w:after="140" w:before="300"/>
      </w:pPr>
      <w:bookmarkStart w:name="_RG0025" w:id="1"/>
      <w:r>
        <w:t xml:space="preserve">8.  Emergency access accounts</w:t>
      </w:r>
      <w:bookmarkEnd w:id="1"/>
    </w:p>
    <w:p>
      <w:pPr>
        <w:spacing w:after="130" w:line="262"/>
      </w:pPr>
      <w:r>
        <w:t xml:space="preserve">Emergency access accounts exist because a misconfigured access policy, an outage of a federation service or the loss of every administrator's authenticator can lock the organization out of its own identity provider. They are excluded from the policies that could cause that lockout, which makes them the highest-value accounts in the tenant. The controls on them replace the policy, not supplement it.</w:t>
      </w:r>
    </w:p>
    <w:p>
      <w:pPr>
        <w:spacing w:after="60" w:line="120"/>
      </w:pPr>
      <w:r>
        <w:rPr>
          <w:sz w:val="4"/>
          <w:szCs w:val="4"/>
        </w:rPr>
        <w:t xml:space="preserve"/>
      </w:r>
    </w:p>
    <w:p>
      <w:pPr>
        <w:pStyle w:val="Heading2"/>
        <w:keepNext/>
        <w:keepLines/>
        <w:spacing w:after="90" w:before="220"/>
      </w:pPr>
      <w:bookmarkStart w:name="_RG0026" w:id="1"/>
      <w:r>
        <w:t xml:space="preserve">8.1  Requirements</w:t>
      </w:r>
      <w:bookmarkEnd w:id="1"/>
    </w:p>
    <w:p>
      <w:pPr>
        <w:pStyle w:val="ListParagraph"/>
        <w:numPr>
          <w:ilvl w:val="0"/>
          <w:numId w:val="2"/>
        </w:numPr>
        <w:spacing w:after="60" w:line="262"/>
      </w:pPr>
      <w:r>
        <w:t xml:space="preserve">The organization holds two emergency access accounts, not more than three, so that one remains if the other's authenticator fails.</w:t>
      </w:r>
    </w:p>
    <w:p>
      <w:pPr>
        <w:pStyle w:val="ListParagraph"/>
        <w:numPr>
          <w:ilvl w:val="0"/>
          <w:numId w:val="2"/>
        </w:numPr>
        <w:spacing w:after="60" w:line="262"/>
      </w:pPr>
      <w:r>
        <w:t xml:space="preserve">Each is a cloud-only account using the identity provider's own domain, not federated and not synchronized from an on-premises directory, and is not tied to any individual's name, phone or email address.</w:t>
      </w:r>
    </w:p>
    <w:p>
      <w:pPr>
        <w:pStyle w:val="ListParagraph"/>
        <w:numPr>
          <w:ilvl w:val="0"/>
          <w:numId w:val="2"/>
        </w:numPr>
        <w:spacing w:after="60" w:line="262"/>
      </w:pPr>
      <w:r>
        <w:t xml:space="preserve">Each holds the identity provider's highest administrative role as a permanent assignment, because just-in-time activation may itself be unavailable in the event it is needed for.</w:t>
      </w:r>
    </w:p>
    <w:p>
      <w:pPr>
        <w:pStyle w:val="ListParagraph"/>
        <w:numPr>
          <w:ilvl w:val="0"/>
          <w:numId w:val="2"/>
        </w:numPr>
        <w:spacing w:after="60" w:line="262"/>
      </w:pPr>
      <w:r>
        <w:t xml:space="preserve">Each is excluded from access policies that block or restrict sign-in, through a dedicated exclusion group, and from no other control.</w:t>
      </w:r>
    </w:p>
    <w:p>
      <w:pPr>
        <w:pStyle w:val="ListParagraph"/>
        <w:numPr>
          <w:ilvl w:val="0"/>
          <w:numId w:val="2"/>
        </w:numPr>
        <w:spacing w:after="60" w:line="262"/>
      </w:pPr>
      <w:r>
        <w:t xml:space="preserve">Each authenticates with a phishing-resistant method that is different from those used by normal administrator accounts: a FIDO2 security key registered only to that account, or a certificate where the organization runs its own certificate infrastructure. The password, where one exists, is at least 20 characters, generated randomly, and split or sealed so that no one person can use the account alone.</w:t>
      </w:r>
    </w:p>
    <w:p>
      <w:pPr>
        <w:pStyle w:val="ListParagraph"/>
        <w:numPr>
          <w:ilvl w:val="0"/>
          <w:numId w:val="2"/>
        </w:numPr>
        <w:spacing w:after="60" w:line="262"/>
      </w:pPr>
      <w:r>
        <w:t xml:space="preserve">Security keys and sealed credentials for the two accounts are stored in separate secure locations, at least one of them away from the main office, with access to each location logged.</w:t>
      </w:r>
    </w:p>
    <w:p>
      <w:pPr>
        <w:pStyle w:val="ListParagraph"/>
        <w:numPr>
          <w:ilvl w:val="0"/>
          <w:numId w:val="2"/>
        </w:numPr>
        <w:spacing w:after="60" w:line="262"/>
      </w:pPr>
      <w:r>
        <w:t xml:space="preserve">Emergency access accounts and their authenticators are exempt from any automated cleanup, expiry or inactivity disablement. The Joiner, Mover and Leaver Standard records them as permanent.</w:t>
      </w:r>
    </w:p>
    <w:p>
      <w:pPr>
        <w:spacing w:after="60" w:line="120"/>
      </w:pPr>
      <w:r>
        <w:rPr>
          <w:sz w:val="4"/>
          <w:szCs w:val="4"/>
        </w:rPr>
        <w:t xml:space="preserve"/>
      </w:r>
    </w:p>
    <w:p>
      <w:pPr>
        <w:pStyle w:val="Heading2"/>
        <w:keepNext/>
        <w:keepLines/>
        <w:spacing w:after="90" w:before="220"/>
      </w:pPr>
      <w:bookmarkStart w:name="_RG0027" w:id="1"/>
      <w:r>
        <w:t xml:space="preserve">8.2  Monitoring</w:t>
      </w:r>
      <w:bookmarkEnd w:id="1"/>
    </w:p>
    <w:p>
      <w:pPr>
        <w:spacing w:after="130" w:line="262"/>
      </w:pPr>
      <w:r>
        <w:t xml:space="preserve">Every sign-in attempt by an emergency access account, successful or not, raises a critical alert to the security monitoring owner and the standard owner within 15 minutes. There is no legitimate routine use, so every alert is investigated. A sign-in that is not matched to a declared emergency or a scheduled test within one hour is handled as a security incident.</w:t>
      </w:r>
    </w:p>
    <w:p>
      <w:pPr>
        <w:spacing w:after="60" w:line="120"/>
      </w:pPr>
      <w:r>
        <w:rPr>
          <w:sz w:val="4"/>
          <w:szCs w:val="4"/>
        </w:rPr>
        <w:t xml:space="preserve"/>
      </w:r>
    </w:p>
    <w:p>
      <w:pPr>
        <w:pStyle w:val="Heading2"/>
        <w:keepNext/>
        <w:keepLines/>
        <w:spacing w:after="90" w:before="220"/>
      </w:pPr>
      <w:bookmarkStart w:name="_RG0028" w:id="1"/>
      <w:r>
        <w:t xml:space="preserve">8.3  Testing</w:t>
      </w:r>
      <w:bookmarkEnd w:id="1"/>
    </w:p>
    <w:p>
      <w:pPr>
        <w:spacing w:after="130" w:line="262"/>
      </w:pPr>
      <w:r>
        <w:t xml:space="preserve">Each account is tested at least every 90 days and after any change to administrators, access policies or the authentication method settings. The test is recorded in the register in Appendix 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Announce the test window to the security monitoring owner in advance.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Test notice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Retrieve the credential and authenticator from storage with a second person present. Record the retrieval in the storage access log.</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 and witness</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Storage access log entry</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Sign in to the identity provider console with the account and confirm the administrative role is active.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Sign-in log entry</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Confirm the monitoring alert fired within 15 minutes and reached both recipients.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Security monitoring owner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Alert record with timestamps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Sign out, reseal the credential and return the authenticator to storage. Rotate the password if the seal was broken.</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 and witness</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Storage return entry</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Record the result, including any failure, in Appendix D. A failed sign-in or a missing alert is remediated within 2 working days and the test repeated.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Completed register entry</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29" w:id="1"/>
      <w:r>
        <w:t xml:space="preserve">9.  Service accounts and non-interactive identities</w:t>
      </w:r>
      <w:bookmarkEnd w:id="1"/>
    </w:p>
    <w:p>
      <w:pPr>
        <w:spacing w:after="130" w:line="262"/>
      </w:pPr>
      <w:r>
        <w:t xml:space="preserve">A non-human identity cannot answer a second-factor prompt, so it is protected by removing the ways a person could sign in as it and by controlling its credential. A user-type account repurposed for automation is the weakest form, because it can usually sign in interactively with a password and is excluded from second-factor policies to keep the automation running.</w:t>
      </w:r>
    </w:p>
    <w:p>
      <w:pPr>
        <w:spacing w:after="60" w:line="120"/>
      </w:pPr>
      <w:r>
        <w:rPr>
          <w:sz w:val="4"/>
          <w:szCs w:val="4"/>
        </w:rPr>
        <w:t xml:space="preserve"/>
      </w:r>
    </w:p>
    <w:p>
      <w:pPr>
        <w:pStyle w:val="Heading2"/>
        <w:keepNext/>
        <w:keepLines/>
        <w:spacing w:after="90" w:before="220"/>
      </w:pPr>
      <w:bookmarkStart w:name="_RG0030" w:id="1"/>
      <w:r>
        <w:t xml:space="preserve">9.1  Requirements</w:t>
      </w:r>
      <w:bookmarkEnd w:id="1"/>
    </w:p>
    <w:p>
      <w:pPr>
        <w:pStyle w:val="ListParagraph"/>
        <w:numPr>
          <w:ilvl w:val="0"/>
          <w:numId w:val="2"/>
        </w:numPr>
        <w:spacing w:after="60" w:line="262"/>
      </w:pPr>
      <w:r>
        <w:t xml:space="preserve">New automation uses the platform's workload identity types, in this order of preference: a managed identity provided by the hosting platform, where the workload runs there; a service principal or application registration with a certificate credential; a service principal with a client secret.</w:t>
      </w:r>
    </w:p>
    <w:p>
      <w:pPr>
        <w:pStyle w:val="ListParagraph"/>
        <w:numPr>
          <w:ilvl w:val="0"/>
          <w:numId w:val="2"/>
        </w:numPr>
        <w:spacing w:after="60" w:line="262"/>
      </w:pPr>
      <w:r>
        <w:t xml:space="preserve">User-type accounts are not created for automation. Existing ones are inventoried, assigned an owner, and scheduled for migration to a workload identity with a target date.</w:t>
      </w:r>
    </w:p>
    <w:p>
      <w:pPr>
        <w:pStyle w:val="ListParagraph"/>
        <w:numPr>
          <w:ilvl w:val="0"/>
          <w:numId w:val="2"/>
        </w:numPr>
        <w:spacing w:after="60" w:line="262"/>
      </w:pPr>
      <w:r>
        <w:t xml:space="preserve">Until migrated, a user-type service account is blocked from interactive sign-in by policy, restricted by policy to the network locations or devices from which the automation runs, holds no privileged role unless an exception is approved, and has a password of at least 20 characters stored only in the organization's password vault.</w:t>
      </w:r>
    </w:p>
    <w:p>
      <w:pPr>
        <w:pStyle w:val="ListParagraph"/>
        <w:numPr>
          <w:ilvl w:val="0"/>
          <w:numId w:val="2"/>
        </w:numPr>
        <w:spacing w:after="60" w:line="262"/>
      </w:pPr>
      <w:r>
        <w:t xml:space="preserve">Every workload identity has a named owner, a recorded purpose, and the minimum permissions needed. Permissions granted to an application across all users' data, such as reading every mailbox, require approval by the standard owner.</w:t>
      </w:r>
    </w:p>
    <w:p>
      <w:pPr>
        <w:pStyle w:val="ListParagraph"/>
        <w:numPr>
          <w:ilvl w:val="0"/>
          <w:numId w:val="2"/>
        </w:numPr>
        <w:spacing w:after="60" w:line="262"/>
      </w:pPr>
      <w:r>
        <w:t xml:space="preserve">Credentials are never embedded in source code, scripts or configuration files held in a repository. They are held in a secrets vault or provided by the platform.</w:t>
      </w:r>
    </w:p>
    <w:p>
      <w:pPr>
        <w:spacing w:after="60" w:line="120"/>
      </w:pPr>
      <w:r>
        <w:rPr>
          <w:sz w:val="4"/>
          <w:szCs w:val="4"/>
        </w:rPr>
        <w:t xml:space="preserve"/>
      </w:r>
    </w:p>
    <w:p>
      <w:pPr>
        <w:pStyle w:val="Heading2"/>
        <w:keepNext/>
        <w:keepLines/>
        <w:spacing w:after="90" w:before="220"/>
      </w:pPr>
      <w:bookmarkStart w:name="_RG0031" w:id="1"/>
      <w:r>
        <w:t xml:space="preserve">9.2  Credential lifetime and rotation</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923"/>
        <w:gridCol w:w="2436"/>
        <w:gridCol w:w="4387"/>
      </w:tblGrid>
      <w:tr>
        <w:trPr>
          <w:cantSplit/>
          <w:tblHeader/>
        </w:trPr>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Credential type</w:t>
            </w:r>
          </w:p>
        </w:tc>
        <w:tc>
          <w:tcPr>
            <w:tcW w:type="dxa" w:w="243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Maximum lifetime</w:t>
            </w:r>
          </w:p>
        </w:tc>
        <w:tc>
          <w:tcPr>
            <w:tcW w:type="dxa" w:w="43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Rotation trigger</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Managed identity</w:t>
            </w:r>
          </w:p>
        </w:tc>
        <w:tc>
          <w:tcPr>
            <w:tcW w:type="dxa" w:w="2436"/>
            <w:shd w:fill="FFFFFF" w:color="auto" w:val="clear"/>
            <w:tcMar>
              <w:top w:type="dxa" w:w="70"/>
              <w:left w:type="dxa" w:w="100"/>
              <w:bottom w:type="dxa" w:w="70"/>
              <w:right w:type="dxa" w:w="100"/>
            </w:tcMar>
            <w:vAlign w:val="top"/>
          </w:tcPr>
          <w:p>
            <w:pPr>
              <w:spacing w:after="0" w:before="0" w:line="252"/>
            </w:pPr>
            <w:r>
              <w:rPr>
                <w:sz w:val="17"/>
                <w:szCs w:val="17"/>
              </w:rPr>
              <w:t xml:space="preserve">Managed by the platform</w:t>
            </w:r>
          </w:p>
        </w:tc>
        <w:tc>
          <w:tcPr>
            <w:tcW w:type="dxa" w:w="4387"/>
            <w:shd w:fill="FFFFFF" w:color="auto" w:val="clear"/>
            <w:tcMar>
              <w:top w:type="dxa" w:w="70"/>
              <w:left w:type="dxa" w:w="100"/>
              <w:bottom w:type="dxa" w:w="70"/>
              <w:right w:type="dxa" w:w="100"/>
            </w:tcMar>
            <w:vAlign w:val="top"/>
          </w:tcPr>
          <w:p>
            <w:pPr>
              <w:spacing w:after="0" w:before="0" w:line="252"/>
            </w:pPr>
            <w:r>
              <w:rPr>
                <w:sz w:val="17"/>
                <w:szCs w:val="17"/>
              </w:rPr>
              <w:t xml:space="preserve">Not applicable</w:t>
            </w:r>
          </w:p>
        </w:tc>
      </w:tr>
      <w:tr>
        <w:trPr>
          <w:cantSplit/>
        </w:trPr>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Certificate credential</w:t>
            </w:r>
          </w:p>
        </w:tc>
        <w:tc>
          <w:tcPr>
            <w:tcW w:type="dxa" w:w="2436"/>
            <w:shd w:fill="F2F4F6" w:color="auto" w:val="clear"/>
            <w:tcMar>
              <w:top w:type="dxa" w:w="70"/>
              <w:left w:type="dxa" w:w="100"/>
              <w:bottom w:type="dxa" w:w="70"/>
              <w:right w:type="dxa" w:w="100"/>
            </w:tcMar>
            <w:vAlign w:val="top"/>
          </w:tcPr>
          <w:p>
            <w:pPr>
              <w:spacing w:after="0" w:before="0" w:line="252"/>
            </w:pPr>
            <w:r>
              <w:rPr>
                <w:sz w:val="17"/>
                <w:szCs w:val="17"/>
              </w:rPr>
              <w:t xml:space="preserve">12 months</w:t>
            </w:r>
          </w:p>
        </w:tc>
        <w:tc>
          <w:tcPr>
            <w:tcW w:type="dxa" w:w="4387"/>
            <w:shd w:fill="F2F4F6" w:color="auto" w:val="clear"/>
            <w:tcMar>
              <w:top w:type="dxa" w:w="70"/>
              <w:left w:type="dxa" w:w="100"/>
              <w:bottom w:type="dxa" w:w="70"/>
              <w:right w:type="dxa" w:w="100"/>
            </w:tcMar>
            <w:vAlign w:val="top"/>
          </w:tcPr>
          <w:p>
            <w:pPr>
              <w:spacing w:after="0" w:before="0" w:line="252"/>
            </w:pPr>
            <w:r>
              <w:rPr>
                <w:sz w:val="17"/>
                <w:szCs w:val="17"/>
              </w:rPr>
              <w:t xml:space="preserve">Expiry, suspected compromise, or departure of a person who had access to the private key</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Client secret</w:t>
            </w:r>
          </w:p>
        </w:tc>
        <w:tc>
          <w:tcPr>
            <w:tcW w:type="dxa" w:w="2436"/>
            <w:shd w:fill="FFFFFF" w:color="auto" w:val="clear"/>
            <w:tcMar>
              <w:top w:type="dxa" w:w="70"/>
              <w:left w:type="dxa" w:w="100"/>
              <w:bottom w:type="dxa" w:w="70"/>
              <w:right w:type="dxa" w:w="100"/>
            </w:tcMar>
            <w:vAlign w:val="top"/>
          </w:tcPr>
          <w:p>
            <w:pPr>
              <w:spacing w:after="0" w:before="0" w:line="252"/>
            </w:pPr>
            <w:r>
              <w:rPr>
                <w:sz w:val="17"/>
                <w:szCs w:val="17"/>
              </w:rPr>
              <w:t xml:space="preserve">6 months</w:t>
            </w:r>
          </w:p>
        </w:tc>
        <w:tc>
          <w:tcPr>
            <w:tcW w:type="dxa" w:w="4387"/>
            <w:shd w:fill="FFFFFF" w:color="auto" w:val="clear"/>
            <w:tcMar>
              <w:top w:type="dxa" w:w="70"/>
              <w:left w:type="dxa" w:w="100"/>
              <w:bottom w:type="dxa" w:w="70"/>
              <w:right w:type="dxa" w:w="100"/>
            </w:tcMar>
            <w:vAlign w:val="top"/>
          </w:tcPr>
          <w:p>
            <w:pPr>
              <w:spacing w:after="0" w:before="0" w:line="252"/>
            </w:pPr>
            <w:r>
              <w:rPr>
                <w:sz w:val="17"/>
                <w:szCs w:val="17"/>
              </w:rPr>
              <w:t xml:space="preserve">Expiry, suspected compromise, or departure of a person who could read it</w:t>
            </w:r>
          </w:p>
        </w:tc>
      </w:tr>
      <w:tr>
        <w:trPr>
          <w:cantSplit/>
        </w:trPr>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API key for a third-party service</w:t>
            </w:r>
          </w:p>
        </w:tc>
        <w:tc>
          <w:tcPr>
            <w:tcW w:type="dxa" w:w="2436"/>
            <w:shd w:fill="F2F4F6" w:color="auto" w:val="clear"/>
            <w:tcMar>
              <w:top w:type="dxa" w:w="70"/>
              <w:left w:type="dxa" w:w="100"/>
              <w:bottom w:type="dxa" w:w="70"/>
              <w:right w:type="dxa" w:w="100"/>
            </w:tcMar>
            <w:vAlign w:val="top"/>
          </w:tcPr>
          <w:p>
            <w:pPr>
              <w:spacing w:after="0" w:before="0" w:line="252"/>
            </w:pPr>
            <w:r>
              <w:rPr>
                <w:sz w:val="17"/>
                <w:szCs w:val="17"/>
              </w:rPr>
              <w:t xml:space="preserve">12 months, or the shortest the provider allows if longer</w:t>
            </w:r>
          </w:p>
        </w:tc>
        <w:tc>
          <w:tcPr>
            <w:tcW w:type="dxa" w:w="4387"/>
            <w:shd w:fill="F2F4F6" w:color="auto" w:val="clear"/>
            <w:tcMar>
              <w:top w:type="dxa" w:w="70"/>
              <w:left w:type="dxa" w:w="100"/>
              <w:bottom w:type="dxa" w:w="70"/>
              <w:right w:type="dxa" w:w="100"/>
            </w:tcMar>
            <w:vAlign w:val="top"/>
          </w:tcPr>
          <w:p>
            <w:pPr>
              <w:spacing w:after="0" w:before="0" w:line="252"/>
            </w:pPr>
            <w:r>
              <w:rPr>
                <w:sz w:val="17"/>
                <w:szCs w:val="17"/>
              </w:rPr>
              <w:t xml:space="preserve">As for client secret</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Password on a user-type service account</w:t>
            </w:r>
          </w:p>
        </w:tc>
        <w:tc>
          <w:tcPr>
            <w:tcW w:type="dxa" w:w="2436"/>
            <w:shd w:fill="FFFFFF" w:color="auto" w:val="clear"/>
            <w:tcMar>
              <w:top w:type="dxa" w:w="70"/>
              <w:left w:type="dxa" w:w="100"/>
              <w:bottom w:type="dxa" w:w="70"/>
              <w:right w:type="dxa" w:w="100"/>
            </w:tcMar>
            <w:vAlign w:val="top"/>
          </w:tcPr>
          <w:p>
            <w:pPr>
              <w:spacing w:after="0" w:before="0" w:line="252"/>
            </w:pPr>
            <w:r>
              <w:rPr>
                <w:sz w:val="17"/>
                <w:szCs w:val="17"/>
              </w:rPr>
              <w:t xml:space="preserve">12 months</w:t>
            </w:r>
          </w:p>
        </w:tc>
        <w:tc>
          <w:tcPr>
            <w:tcW w:type="dxa" w:w="4387"/>
            <w:shd w:fill="FFFFFF" w:color="auto" w:val="clear"/>
            <w:tcMar>
              <w:top w:type="dxa" w:w="70"/>
              <w:left w:type="dxa" w:w="100"/>
              <w:bottom w:type="dxa" w:w="70"/>
              <w:right w:type="dxa" w:w="100"/>
            </w:tcMar>
            <w:vAlign w:val="top"/>
          </w:tcPr>
          <w:p>
            <w:pPr>
              <w:spacing w:after="0" w:before="0" w:line="252"/>
            </w:pPr>
            <w:r>
              <w:rPr>
                <w:sz w:val="17"/>
                <w:szCs w:val="17"/>
              </w:rPr>
              <w:t xml:space="preserve">As for client secret, and any change in the account's permissions</w:t>
            </w:r>
          </w:p>
        </w:tc>
      </w:tr>
    </w:tbl>
    <w:p>
      <w:pPr>
        <w:spacing w:after="120" w:line="120"/>
      </w:pPr>
      <w:r>
        <w:rPr>
          <w:sz w:val="4"/>
          <w:szCs w:val="4"/>
        </w:rPr>
        <w:t xml:space="preserve"/>
      </w:r>
    </w:p>
    <w:p>
      <w:pPr>
        <w:spacing w:after="130" w:line="262"/>
      </w:pPr>
      <w:r>
        <w:t xml:space="preserve">Secrets are set to expire at creation, not left without an expiry. The identity administrator reviews credentials due to expire in the next 30 days at each monthly reconciliation, so that rotation is planned rather than prompted by an outage.</w:t>
      </w:r>
    </w:p>
    <w:p>
      <w:pPr>
        <w:spacing w:after="60" w:line="120"/>
      </w:pPr>
      <w:r>
        <w:rPr>
          <w:sz w:val="4"/>
          <w:szCs w:val="4"/>
        </w:rPr>
        <w:t xml:space="preserve"/>
      </w:r>
    </w:p>
    <w:p>
      <w:pPr>
        <w:pStyle w:val="Heading2"/>
        <w:keepNext/>
        <w:keepLines/>
        <w:spacing w:after="90" w:before="220"/>
      </w:pPr>
      <w:bookmarkStart w:name="_RG0032" w:id="1"/>
      <w:r>
        <w:t xml:space="preserve">9.3  Monitoring of non-interactive identities</w:t>
      </w:r>
      <w:bookmarkEnd w:id="1"/>
    </w:p>
    <w:p>
      <w:pPr>
        <w:pStyle w:val="ListParagraph"/>
        <w:numPr>
          <w:ilvl w:val="0"/>
          <w:numId w:val="2"/>
        </w:numPr>
        <w:spacing w:after="60" w:line="262"/>
      </w:pPr>
      <w:r>
        <w:t xml:space="preserve">Sign-ins by service accounts and workload identities from locations or networks outside their recorded pattern raise an alert.</w:t>
      </w:r>
    </w:p>
    <w:p>
      <w:pPr>
        <w:pStyle w:val="ListParagraph"/>
        <w:numPr>
          <w:ilvl w:val="0"/>
          <w:numId w:val="2"/>
        </w:numPr>
        <w:spacing w:after="60" w:line="262"/>
      </w:pPr>
      <w:r>
        <w:t xml:space="preserve">Any interactive sign-in by a service account raises an alert and is investigated.</w:t>
      </w:r>
    </w:p>
    <w:p>
      <w:pPr>
        <w:pStyle w:val="ListParagraph"/>
        <w:numPr>
          <w:ilvl w:val="0"/>
          <w:numId w:val="2"/>
        </w:numPr>
        <w:spacing w:after="60" w:line="262"/>
      </w:pPr>
      <w:r>
        <w:t xml:space="preserve">Addition of a new credential to an existing application registration raises an alert, because adding a secret to an existing application is a common persistence technique after an administrator account is compromised.</w:t>
      </w:r>
    </w:p>
    <w:p>
      <w:pPr>
        <w:spacing w:after="60" w:line="120"/>
      </w:pPr>
      <w:r>
        <w:rPr>
          <w:sz w:val="4"/>
          <w:szCs w:val="4"/>
        </w:rPr>
        <w:t xml:space="preserve"/>
      </w:r>
    </w:p>
    <w:p>
      <w:pPr>
        <w:pStyle w:val="Heading1"/>
        <w:keepNext/>
        <w:keepLines/>
        <w:pBdr>
          <w:bottom w:val="single" w:color="D4DAE0" w:sz="4" w:space="4"/>
        </w:pBdr>
        <w:spacing w:after="140" w:before="300"/>
      </w:pPr>
      <w:bookmarkStart w:name="_RG0033" w:id="1"/>
      <w:r>
        <w:t xml:space="preserve">10.  Password requirements</w:t>
      </w:r>
      <w:bookmarkEnd w:id="1"/>
    </w:p>
    <w:p>
      <w:pPr>
        <w:spacing w:after="130" w:line="262"/>
      </w:pPr>
      <w:r>
        <w:t xml:space="preserve">Where passwords remain in use, they follow NIST SP 800-63B-4, the fourth revision of the Digital Identity Guidelines authentication volume, finalized in July 2025. Its approach replaces complexity and forced change with length, screening against known-compromised values, and limits on guessing.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728"/>
        <w:gridCol w:w="3313"/>
        <w:gridCol w:w="3705"/>
      </w:tblGrid>
      <w:tr>
        <w:trPr>
          <w:cantSplit/>
          <w:tblHeader/>
        </w:trPr>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Setting in this standard</w:t>
            </w:r>
          </w:p>
        </w:tc>
        <w:tc>
          <w:tcPr>
            <w:tcW w:type="dxa" w:w="370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Basis</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Minimum length, password used as the only factor</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15 characters</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NIST SP 800-63B-4 requires at least 15 characters for a password used as a single factor.</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Minimum length, password used only with a second factor</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15 characters where the system can enforce it; never below 8</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NIST permits 8 characters where the password is only ever used as part of multi-factor authentication. This standard sets 15 for consistency, with 8 as the floor for systems that cannot enforce more.</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Maximum length accepted</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At least 64 characters</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NIST recommends permitting at least 64.</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Characters accepted</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All printing characters and spaces</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NIST recommends accepting all printing ASCII characters and the space character, and counts each Unicode code point as one character.</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Composition rules</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None. No requirement to mix character types</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NIST prohibits other composition rules.</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Periodic change</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None. Change only on evidence or suspicion of compromise</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NIST prohibits requiring periodic change and requires a forced change on evidence of compromise.</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Blocklist screening</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Every new password checked against a list of breached, common and organization-specific values, comparing the whole password</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NIST requires comparison against a blocklist, of the entire password rather than substrings.</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Hints and security questions</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Not permitted</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NIST prohibits hints accessible to an unauthenticated claimant and prompting for knowledge-based questions.</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Password managers and paste</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Permitted and encouraged</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NIST requires allowing password managers and autofill, and recommends permitting paste.</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Failed attempt limit</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Account or authenticator locked or throttled after not more than 10 consecutive failures</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NIST sets 100 consecutive failures as the upper bound and permits lower limits.</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34" w:id="1"/>
      <w:r>
        <w:t xml:space="preserve">10.1  Operational rules</w:t>
      </w:r>
      <w:bookmarkEnd w:id="1"/>
    </w:p>
    <w:p>
      <w:pPr>
        <w:pStyle w:val="ListParagraph"/>
        <w:numPr>
          <w:ilvl w:val="0"/>
          <w:numId w:val="2"/>
        </w:numPr>
        <w:spacing w:after="60" w:line="262"/>
      </w:pPr>
      <w:r>
        <w:t xml:space="preserve">Where a system enforces an expiry period by default, the expiry is disabled. A system that cannot disable expiry is set to the longest period it allows and recorded in the inventory.</w:t>
      </w:r>
    </w:p>
    <w:p>
      <w:pPr>
        <w:pStyle w:val="ListParagraph"/>
        <w:numPr>
          <w:ilvl w:val="0"/>
          <w:numId w:val="2"/>
        </w:numPr>
        <w:spacing w:after="60" w:line="262"/>
      </w:pPr>
      <w:r>
        <w:t xml:space="preserve">The organization's blocklist includes the organization's name, product names, office locations and common variations, in addition to any breached-password list the identity provider maintains.</w:t>
      </w:r>
    </w:p>
    <w:p>
      <w:pPr>
        <w:pStyle w:val="ListParagraph"/>
        <w:numPr>
          <w:ilvl w:val="0"/>
          <w:numId w:val="2"/>
        </w:numPr>
        <w:spacing w:after="60" w:line="262"/>
      </w:pPr>
      <w:r>
        <w:t xml:space="preserve">When a password is found in a breach corpus or is suspected of compromise, the account holder is required to change it at next sign-in and the account's sessions are revoked.</w:t>
      </w:r>
    </w:p>
    <w:p>
      <w:pPr>
        <w:pStyle w:val="ListParagraph"/>
        <w:numPr>
          <w:ilvl w:val="0"/>
          <w:numId w:val="2"/>
        </w:numPr>
        <w:spacing w:after="60" w:line="262"/>
      </w:pPr>
      <w:r>
        <w:t xml:space="preserve">Passwords are never sent by email or chat. Initial credentials are delivered as time-limited, single-use registration credentials under section 14.1.</w:t>
      </w:r>
    </w:p>
    <w:p>
      <w:pPr>
        <w:pStyle w:val="ListParagraph"/>
        <w:numPr>
          <w:ilvl w:val="0"/>
          <w:numId w:val="2"/>
        </w:numPr>
        <w:spacing w:after="60" w:line="262"/>
      </w:pPr>
      <w:r>
        <w:t xml:space="preserve">Staff are provided with a password manager approved by the organization for any credential not covered by single sign-on.</w:t>
      </w:r>
    </w:p>
    <w:p>
      <w:pPr>
        <w:spacing w:after="60" w:line="120"/>
      </w:pPr>
      <w:r>
        <w:rPr>
          <w:sz w:val="4"/>
          <w:szCs w:val="4"/>
        </w:rPr>
        <w:t xml:space="preserve"/>
      </w:r>
    </w:p>
    <w:p>
      <w:pPr>
        <w:pStyle w:val="Heading1"/>
        <w:keepNext/>
        <w:keepLines/>
        <w:pBdr>
          <w:bottom w:val="single" w:color="D4DAE0" w:sz="4" w:space="4"/>
        </w:pBdr>
        <w:spacing w:after="140" w:before="300"/>
      </w:pPr>
      <w:bookmarkStart w:name="_RG0035" w:id="1"/>
      <w:r>
        <w:t xml:space="preserve">11.  Push fatigue and approval abuse</w:t>
      </w:r>
      <w:bookmarkEnd w:id="1"/>
    </w:p>
    <w:p>
      <w:pPr>
        <w:spacing w:after="130" w:line="262"/>
      </w:pPr>
      <w:r>
        <w:t xml:space="preserve">Push bombing, also called MFA fatigue, sends repeated sign-in approval requests to an account holder whose password the attacker already has, in the expectation that one will be approved to stop the notifications or by mistake. It is used in practice: a joint advisory from US government agencies on one prolific intrusion group records repeated push prompts leading employees to approve, alongside SIM swapping and help desk impersonation.</w:t>
      </w:r>
    </w:p>
    <w:p>
      <w:pPr>
        <w:pStyle w:val="ListParagraph"/>
        <w:numPr>
          <w:ilvl w:val="0"/>
          <w:numId w:val="2"/>
        </w:numPr>
        <w:spacing w:after="60" w:line="262"/>
      </w:pPr>
      <w:r>
        <w:t xml:space="preserve">Push methods that ask only for approval are disabled. Number matching, where the user enters into the app a value shown on the sign-in screen, is required for every push.</w:t>
      </w:r>
    </w:p>
    <w:p>
      <w:pPr>
        <w:pStyle w:val="ListParagraph"/>
        <w:numPr>
          <w:ilvl w:val="0"/>
          <w:numId w:val="2"/>
        </w:numPr>
        <w:spacing w:after="60" w:line="262"/>
      </w:pPr>
      <w:r>
        <w:t xml:space="preserve">Where the authenticator app can display additional context, such as the application and the approximate sign-in location, that display is enabled.</w:t>
      </w:r>
    </w:p>
    <w:p>
      <w:pPr>
        <w:pStyle w:val="ListParagraph"/>
        <w:numPr>
          <w:ilvl w:val="0"/>
          <w:numId w:val="2"/>
        </w:numPr>
        <w:spacing w:after="60" w:line="262"/>
      </w:pPr>
      <w:r>
        <w:t xml:space="preserve">Account holders are instructed that a prompt they did not start is never approved, and is reported to the service desk as a security event. The instruction is repeated in induction and annually.</w:t>
      </w:r>
    </w:p>
    <w:p>
      <w:pPr>
        <w:pStyle w:val="ListParagraph"/>
        <w:numPr>
          <w:ilvl w:val="0"/>
          <w:numId w:val="2"/>
        </w:numPr>
        <w:spacing w:after="60" w:line="262"/>
      </w:pPr>
      <w:r>
        <w:t xml:space="preserve">Three or more denied or unanswered second-factor requests for one account within 10 minutes raise an alert under section 15. The security monitoring owner treats the account's password as compromised: forces a password change, revokes sessions and contacts the account holder through a known channel.</w:t>
      </w:r>
    </w:p>
    <w:p>
      <w:pPr>
        <w:pStyle w:val="ListParagraph"/>
        <w:numPr>
          <w:ilvl w:val="0"/>
          <w:numId w:val="2"/>
        </w:numPr>
        <w:spacing w:after="60" w:line="262"/>
      </w:pPr>
      <w:r>
        <w:t xml:space="preserve">Where the identity provider allows a user to report a prompt as suspicious, that option is enabled and each report raises an alert.</w:t>
      </w:r>
    </w:p>
    <w:p>
      <w:pPr>
        <w:pStyle w:val="ListParagraph"/>
        <w:numPr>
          <w:ilvl w:val="0"/>
          <w:numId w:val="2"/>
        </w:numPr>
        <w:spacing w:after="60" w:line="262"/>
      </w:pPr>
      <w:r>
        <w:t xml:space="preserve">A pending push request expires after not more than 10 minutes, consistent with the NIST SP 800-63B-4 limit on completing out-of-band authentication.</w:t>
      </w:r>
    </w:p>
    <w:p>
      <w:pPr>
        <w:spacing w:after="60" w:line="120"/>
      </w:pPr>
      <w:r>
        <w:rPr>
          <w:sz w:val="4"/>
          <w:szCs w:val="4"/>
        </w:rPr>
        <w:t xml:space="preserve"/>
      </w:r>
    </w:p>
    <w:p>
      <w:pPr>
        <w:pStyle w:val="Heading1"/>
        <w:keepNext/>
        <w:keepLines/>
        <w:pBdr>
          <w:bottom w:val="single" w:color="D4DAE0" w:sz="4" w:space="4"/>
        </w:pBdr>
        <w:spacing w:after="140" w:before="300"/>
      </w:pPr>
      <w:bookmarkStart w:name="_RG0036" w:id="1"/>
      <w:r>
        <w:t xml:space="preserve">12.  Session lifetime and re-authentication</w:t>
      </w:r>
      <w:bookmarkEnd w:id="1"/>
    </w:p>
    <w:p>
      <w:pPr>
        <w:spacing w:after="130" w:line="262"/>
      </w:pPr>
      <w:r>
        <w:t xml:space="preserve">A second factor protects the moment of sign-in. The session token issued afterwards is what an attacker steals through an adversary-in-the-middle phishing page or from a compromised device, and it carries the second factor's assurance until it expires. Session limits bound the value of a stolen token.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923"/>
        <w:gridCol w:w="2339"/>
        <w:gridCol w:w="2533"/>
        <w:gridCol w:w="1951"/>
      </w:tblGrid>
      <w:tr>
        <w:trPr>
          <w:cantSplit/>
          <w:tblHeader/>
        </w:trPr>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Context</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Re-authentication interval</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Inactivity timeout</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Persistent browser session</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Privileged account, any device</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Not more than 12 hours</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15 minutes on administration consoles where configurable</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Not permitted</w:t>
            </w:r>
          </w:p>
        </w:tc>
      </w:tr>
      <w:tr>
        <w:trPr>
          <w:cantSplit/>
        </w:trPr>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Workforce account, unmanaged device or browser</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Not more than 24 hours</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1 hour on applications holding sensitive data where configurable</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Not permitted</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Workforce account, managed and compliant device</w:t>
            </w:r>
          </w:p>
        </w:tc>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Not more than 14 days</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Per application</w:t>
            </w:r>
          </w:p>
        </w:tc>
        <w:tc>
          <w:tcPr>
            <w:tcW w:type="dxa" w:w="1951"/>
            <w:shd w:fill="FFFFFF" w:color="auto" w:val="clear"/>
            <w:tcMar>
              <w:top w:type="dxa" w:w="70"/>
              <w:left w:type="dxa" w:w="100"/>
              <w:bottom w:type="dxa" w:w="70"/>
              <w:right w:type="dxa" w:w="100"/>
            </w:tcMar>
            <w:vAlign w:val="top"/>
          </w:tcPr>
          <w:p>
            <w:pPr>
              <w:spacing w:after="0" w:before="0" w:line="252"/>
            </w:pPr>
            <w:r>
              <w:rPr>
                <w:sz w:val="17"/>
                <w:szCs w:val="17"/>
              </w:rPr>
              <w:t xml:space="preserve">Permitted</w:t>
            </w:r>
          </w:p>
        </w:tc>
      </w:tr>
      <w:tr>
        <w:trPr>
          <w:cantSplit/>
        </w:trPr>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Guest and external account</w:t>
            </w:r>
          </w:p>
        </w:tc>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Not more than 24 hours</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1 hour where configurable</w:t>
            </w:r>
          </w:p>
        </w:tc>
        <w:tc>
          <w:tcPr>
            <w:tcW w:type="dxa" w:w="1951"/>
            <w:shd w:fill="F2F4F6" w:color="auto" w:val="clear"/>
            <w:tcMar>
              <w:top w:type="dxa" w:w="70"/>
              <w:left w:type="dxa" w:w="100"/>
              <w:bottom w:type="dxa" w:w="70"/>
              <w:right w:type="dxa" w:w="100"/>
            </w:tcMar>
            <w:vAlign w:val="top"/>
          </w:tcPr>
          <w:p>
            <w:pPr>
              <w:spacing w:after="0" w:before="0" w:line="252"/>
            </w:pPr>
            <w:r>
              <w:rPr>
                <w:sz w:val="17"/>
                <w:szCs w:val="17"/>
              </w:rPr>
              <w:t xml:space="preserve">Not permitted</w:t>
            </w:r>
          </w:p>
        </w:tc>
      </w:tr>
    </w:tbl>
    <w:p>
      <w:pPr>
        <w:spacing w:after="120" w:line="120"/>
      </w:pPr>
      <w:r>
        <w:rPr>
          <w:sz w:val="4"/>
          <w:szCs w:val="4"/>
        </w:rPr>
        <w:t xml:space="preserve"/>
      </w:r>
    </w:p>
    <w:p>
      <w:pPr>
        <w:spacing w:after="130" w:line="262"/>
      </w:pPr>
      <w:r>
        <w:t xml:space="preserve">NIST SP 800-63B-4 recommends re-authentication at least every 24 hours and an inactivity timeout of not more than 1 hour at its second assurance level, and requires re-authentication at least every 12 hours at its third, with a recommended inactivity timeout of 15 minutes. The longer interval for managed devices in the table is a recorded risk decision, justified by the device compliance condition in section 13; an organization that cannot enforce that condition applies 24 hours to all workforce sessions.</w:t>
      </w:r>
    </w:p>
    <w:p>
      <w:pPr>
        <w:spacing w:after="60" w:line="120"/>
      </w:pPr>
      <w:r>
        <w:rPr>
          <w:sz w:val="4"/>
          <w:szCs w:val="4"/>
        </w:rPr>
        <w:t xml:space="preserve"/>
      </w:r>
    </w:p>
    <w:p>
      <w:pPr>
        <w:pStyle w:val="Heading2"/>
        <w:keepNext/>
        <w:keepLines/>
        <w:spacing w:after="90" w:before="220"/>
      </w:pPr>
      <w:bookmarkStart w:name="_RG0037" w:id="1"/>
      <w:r>
        <w:t xml:space="preserve">12.1  Re-authentication for sensitive actions</w:t>
      </w:r>
      <w:bookmarkEnd w:id="1"/>
    </w:p>
    <w:p>
      <w:pPr>
        <w:spacing w:after="130" w:line="262"/>
      </w:pPr>
      <w:r>
        <w:t xml:space="preserve">The following actions require a fresh second-factor challenge at the time of the action, regardless of session age, where the platform supports it:</w:t>
      </w:r>
    </w:p>
    <w:p>
      <w:pPr>
        <w:pStyle w:val="ListParagraph"/>
        <w:numPr>
          <w:ilvl w:val="0"/>
          <w:numId w:val="2"/>
        </w:numPr>
        <w:spacing w:after="60" w:line="262"/>
      </w:pPr>
      <w:r>
        <w:t xml:space="preserve">Activation of a privileged role.</w:t>
      </w:r>
    </w:p>
    <w:p>
      <w:pPr>
        <w:pStyle w:val="ListParagraph"/>
        <w:numPr>
          <w:ilvl w:val="0"/>
          <w:numId w:val="2"/>
        </w:numPr>
        <w:spacing w:after="60" w:line="262"/>
      </w:pPr>
      <w:r>
        <w:t xml:space="preserve">Registration, removal or change of an authentication method.</w:t>
      </w:r>
    </w:p>
    <w:p>
      <w:pPr>
        <w:pStyle w:val="ListParagraph"/>
        <w:numPr>
          <w:ilvl w:val="0"/>
          <w:numId w:val="2"/>
        </w:numPr>
        <w:spacing w:after="60" w:line="262"/>
      </w:pPr>
      <w:r>
        <w:t xml:space="preserve">Changes to access policies, authentication method settings or exclusion groups.</w:t>
      </w:r>
    </w:p>
    <w:p>
      <w:pPr>
        <w:pStyle w:val="ListParagraph"/>
        <w:numPr>
          <w:ilvl w:val="0"/>
          <w:numId w:val="2"/>
        </w:numPr>
        <w:spacing w:after="60" w:line="262"/>
      </w:pPr>
      <w:r>
        <w:t xml:space="preserve">Creation of a credential on an application registration.</w:t>
      </w:r>
    </w:p>
    <w:p>
      <w:pPr>
        <w:pStyle w:val="ListParagraph"/>
        <w:numPr>
          <w:ilvl w:val="0"/>
          <w:numId w:val="2"/>
        </w:numPr>
        <w:spacing w:after="60" w:line="262"/>
      </w:pPr>
      <w:r>
        <w:t xml:space="preserve">Approval of a payment or change of supplier bank details in a finance platform.</w:t>
      </w:r>
    </w:p>
    <w:p>
      <w:pPr>
        <w:pStyle w:val="ListParagraph"/>
        <w:numPr>
          <w:ilvl w:val="0"/>
          <w:numId w:val="2"/>
        </w:numPr>
        <w:spacing w:after="60" w:line="262"/>
      </w:pPr>
      <w:r>
        <w:t xml:space="preserve">Bulk export of personal or confidential data.</w:t>
      </w:r>
    </w:p>
    <w:p>
      <w:pPr>
        <w:spacing w:after="60" w:line="120"/>
      </w:pPr>
      <w:r>
        <w:rPr>
          <w:sz w:val="4"/>
          <w:szCs w:val="4"/>
        </w:rPr>
        <w:t xml:space="preserve"/>
      </w:r>
    </w:p>
    <w:p>
      <w:pPr>
        <w:pStyle w:val="Heading2"/>
        <w:keepNext/>
        <w:keepLines/>
        <w:spacing w:after="90" w:before="220"/>
      </w:pPr>
      <w:bookmarkStart w:name="_RG0038" w:id="1"/>
      <w:r>
        <w:t xml:space="preserve">12.2  Session revocation</w:t>
      </w:r>
      <w:bookmarkEnd w:id="1"/>
    </w:p>
    <w:p>
      <w:pPr>
        <w:spacing w:after="130" w:line="262"/>
      </w:pPr>
      <w:r>
        <w:t xml:space="preserve">Sessions and refresh tokens for an account are revoked, and the revocation recorded, when its password is reset, an authenticator is reported lost or stolen, a risky sign-in is confirmed, or the account holder leaves under the Joiner, Mover and Leaver Standard. A password reset alone does not end every existing session on every platform, so revocation is a separate step in each procedure.</w:t>
      </w:r>
    </w:p>
    <w:p>
      <w:pPr>
        <w:spacing w:after="60" w:line="120"/>
      </w:pPr>
      <w:r>
        <w:rPr>
          <w:sz w:val="4"/>
          <w:szCs w:val="4"/>
        </w:rPr>
        <w:t xml:space="preserve"/>
      </w:r>
    </w:p>
    <w:p>
      <w:pPr>
        <w:pStyle w:val="Heading1"/>
        <w:keepNext/>
        <w:keepLines/>
        <w:pBdr>
          <w:bottom w:val="single" w:color="D4DAE0" w:sz="4" w:space="4"/>
        </w:pBdr>
        <w:spacing w:after="140" w:before="300"/>
      </w:pPr>
      <w:bookmarkStart w:name="_RG0039" w:id="1"/>
      <w:r>
        <w:t xml:space="preserve">13.  Device and location conditions</w:t>
      </w:r>
      <w:bookmarkEnd w:id="1"/>
    </w:p>
    <w:p>
      <w:pPr>
        <w:spacing w:after="130" w:line="262"/>
      </w:pPr>
      <w:r>
        <w:t xml:space="preserve">Device and location conditions add to the second factor. They never replace it. A sign-in from an office network or a managed device still requires a second factor under section 6.1.</w:t>
      </w:r>
    </w:p>
    <w:p>
      <w:pPr>
        <w:pStyle w:val="ListParagraph"/>
        <w:numPr>
          <w:ilvl w:val="0"/>
          <w:numId w:val="2"/>
        </w:numPr>
        <w:spacing w:after="60" w:line="262"/>
      </w:pPr>
      <w:r>
        <w:t xml:space="preserve">Access to sensitive applications, defined as those holding personal data in bulk, financial approval functions, and administration consoles, is permitted only from devices that are managed by the organization and meet its device compliance baseline, for example by requiring a device marked compliant by the endpoint management service, or a device joined to the organization's directory.</w:t>
      </w:r>
    </w:p>
    <w:p>
      <w:pPr>
        <w:pStyle w:val="ListParagraph"/>
        <w:numPr>
          <w:ilvl w:val="0"/>
          <w:numId w:val="2"/>
        </w:numPr>
        <w:spacing w:after="60" w:line="262"/>
      </w:pPr>
      <w:r>
        <w:t xml:space="preserve">Unmanaged devices are restricted to browser access without download or sync for applications that support such a restriction, and are subject to the shorter session limits in section 12.</w:t>
      </w:r>
    </w:p>
    <w:p>
      <w:pPr>
        <w:pStyle w:val="ListParagraph"/>
        <w:numPr>
          <w:ilvl w:val="0"/>
          <w:numId w:val="2"/>
        </w:numPr>
        <w:spacing w:after="60" w:line="262"/>
      </w:pPr>
      <w:r>
        <w:t xml:space="preserve">Sign-ins from countries where the organization has no staff, customers or suppliers are blocked by policy, with travel handled by a time-limited exception under section 16. The blocked list is reviewed annually.</w:t>
      </w:r>
    </w:p>
    <w:p>
      <w:pPr>
        <w:pStyle w:val="ListParagraph"/>
        <w:numPr>
          <w:ilvl w:val="0"/>
          <w:numId w:val="2"/>
        </w:numPr>
        <w:spacing w:after="60" w:line="262"/>
      </w:pPr>
      <w:r>
        <w:t xml:space="preserve">Sign-ins from anonymizing networks are blocked where the identity provider can identify them.</w:t>
      </w:r>
    </w:p>
    <w:p>
      <w:pPr>
        <w:pStyle w:val="ListParagraph"/>
        <w:numPr>
          <w:ilvl w:val="0"/>
          <w:numId w:val="2"/>
        </w:numPr>
        <w:spacing w:after="60" w:line="262"/>
      </w:pPr>
      <w:r>
        <w:t xml:space="preserve">Where the identity provider assesses sign-in or user risk, high-risk sign-ins are blocked or required to complete a phishing-resistant challenge, and high-risk users are required to change their password after completing a second factor. Medium-risk events raise an alert.</w:t>
      </w:r>
    </w:p>
    <w:p>
      <w:pPr>
        <w:pStyle w:val="ListParagraph"/>
        <w:numPr>
          <w:ilvl w:val="0"/>
          <w:numId w:val="2"/>
        </w:numPr>
        <w:spacing w:after="60" w:line="262"/>
      </w:pPr>
      <w:r>
        <w:t xml:space="preserve">Registration of authentication methods is permitted only from a managed device or a trusted location, or with a time-limited registration credential, so that a stolen password used elsewhere cannot register a new authenticator.</w:t>
      </w:r>
    </w:p>
    <w:p>
      <w:pPr>
        <w:spacing w:after="60" w:line="120"/>
      </w:pPr>
      <w:r>
        <w:rPr>
          <w:sz w:val="4"/>
          <w:szCs w:val="4"/>
        </w:rPr>
        <w:t xml:space="preserve"/>
      </w:r>
    </w:p>
    <w:p>
      <w:pPr>
        <w:pStyle w:val="Heading1"/>
        <w:keepNext/>
        <w:keepLines/>
        <w:pBdr>
          <w:bottom w:val="single" w:color="D4DAE0" w:sz="4" w:space="4"/>
        </w:pBdr>
        <w:spacing w:after="140" w:before="300"/>
      </w:pPr>
      <w:bookmarkStart w:name="_RG0040" w:id="1"/>
      <w:r>
        <w:t xml:space="preserve">14.  Registration, recovery and reset</w:t>
      </w:r>
      <w:bookmarkEnd w:id="1"/>
    </w:p>
    <w:p>
      <w:pPr>
        <w:spacing w:after="130" w:line="262"/>
      </w:pPr>
      <w:r>
        <w:t xml:space="preserve">Recovery is where a well-configured second factor is most often defeated. An attacker who cannot pass the second factor calls the service desk, claims to be the account holder with a new phone, and asks for the authenticator to be reset. Joint US government advisories describe this as a technique used against organizations with otherwise strong authentication. The procedure below is designed so that a convincing voice and knowledge of public facts about an employee are not sufficient.</w:t>
      </w:r>
    </w:p>
    <w:p>
      <w:pPr>
        <w:spacing w:after="60" w:line="120"/>
      </w:pPr>
      <w:r>
        <w:rPr>
          <w:sz w:val="4"/>
          <w:szCs w:val="4"/>
        </w:rPr>
        <w:t xml:space="preserve"/>
      </w:r>
    </w:p>
    <w:p>
      <w:pPr>
        <w:pStyle w:val="Heading2"/>
        <w:keepNext/>
        <w:keepLines/>
        <w:spacing w:after="90" w:before="220"/>
      </w:pPr>
      <w:bookmarkStart w:name="_RG0041" w:id="1"/>
      <w:r>
        <w:t xml:space="preserve">14.1  Initial registration</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Account created under the Joiner, Mover and Leaver Standard with no usable password and no registered method.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Account creation record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New starter's identity verified in person on the first day, or by video against a photo identity document already checked by human resources, by a person other than the requester.</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Verification entry on the joiner ticket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A time-limited, single-use registration credential issued, valid for not more than 8 hours, delivered to the verified person directly and not by email to a personal address.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Issue record with expiry</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New starter signs in with the credential and registers two methods permitted for the account type.</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Account holder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Method registration events in the audit log</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Service desk confirms in the methods export that two permitted methods are registered and the account is in scope of the enforcing policy.</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Confirmation on the joiner ticket</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42" w:id="1"/>
      <w:r>
        <w:t xml:space="preserve">14.2  Reset and recovery by the service desk</w:t>
      </w:r>
      <w:bookmarkEnd w:id="1"/>
    </w:p>
    <w:p>
      <w:pPr>
        <w:spacing w:after="130" w:line="262"/>
      </w:pPr>
      <w:r>
        <w:t xml:space="preserve">A request to reset a password, register a new authenticator, remove an authenticator or issue a temporary registration credential is a recovery. Every recovery follows this procedure and the checklist in Appendix C.</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Log the request with the claimed identity, the channel it arrived by, and what is being asked for.</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Ticket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Never act on the inbound contact. End the call or chat and contact the account holder back through a channel recorded before the request: the phone number in the human resources record, or a video call to the work account if the person can still sign in.</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Callback recorded on ticket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Verify identity by one of: in-person presentation of photo identity; video call with photo identity compared against the human resources record; or confirmation by the person's line manager, contacted independently through the directory, who knows the person by sight on a video call. Knowledge of employee ID, date of birth, manager's name or similar facts is not verification.</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Verification method recorded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For a privileged account, a second service desk member or the identity administrator independently confirms the verification before any change.</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Second verifier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Second verifier recorded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Revoke sessions and remove the authenticator reported lost or to be replaced. Issue a single-use registration credential valid for not more than 1 hour, delivered during the verified contact.</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Revocation and issue records</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Account holder registers the new method during the contact. Service desk confirms registration.</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Account holder and 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Registration event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Notify the account holder by a second channel that a recovery took place, and notify the line manager.</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Notification record</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Security monitoring owner reviews sign-ins on the account for the following 7 days.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Security monitoring owner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Review note on ticket</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TEST FOR THIS PROCEDURE</w:t>
            </w:r>
          </w:p>
          <w:p>
            <w:pPr>
              <w:spacing w:after="0" w:line="262"/>
            </w:pPr>
            <w:r>
              <w:t xml:space="preserve">Could someone who has read the account holder's public profile, knows their manager's name and can imitate their voice complete it? If yes, the procedure is the account's weakest factor. Calling back on a number recorded before the request, and seeing the person, are the two steps an impersonator cannot complete.</w:t>
            </w:r>
          </w:p>
        </w:tc>
      </w:tr>
    </w:tbl>
    <w:p>
      <w:pPr>
        <w:spacing w:after="120" w:line="120"/>
      </w:pPr>
      <w:r>
        <w:rPr>
          <w:sz w:val="4"/>
          <w:szCs w:val="4"/>
        </w:rPr>
        <w:t xml:space="preserve"/>
      </w:r>
    </w:p>
    <w:p>
      <w:pPr>
        <w:spacing w:after="130" w:line="262"/>
      </w:pPr>
      <w:r>
        <w:t xml:space="preserve">Requests that do not complete verification are refused, the refusal recorded, and the account holder and the security monitoring owner informed. Pressure to bypass the procedure, including claimed seniority or urgency, is itself recorded and reported.</w:t>
      </w:r>
    </w:p>
    <w:p>
      <w:pPr>
        <w:spacing w:after="60" w:line="120"/>
      </w:pPr>
      <w:r>
        <w:rPr>
          <w:sz w:val="4"/>
          <w:szCs w:val="4"/>
        </w:rPr>
        <w:t xml:space="preserve"/>
      </w:r>
    </w:p>
    <w:p>
      <w:pPr>
        <w:pStyle w:val="Heading2"/>
        <w:keepNext/>
        <w:keepLines/>
        <w:spacing w:after="90" w:before="220"/>
      </w:pPr>
      <w:bookmarkStart w:name="_RG0043" w:id="1"/>
      <w:r>
        <w:t xml:space="preserve">14.3  Self-service recovery</w:t>
      </w:r>
      <w:bookmarkEnd w:id="1"/>
    </w:p>
    <w:p>
      <w:pPr>
        <w:pStyle w:val="ListParagraph"/>
        <w:numPr>
          <w:ilvl w:val="0"/>
          <w:numId w:val="2"/>
        </w:numPr>
        <w:spacing w:after="60" w:line="262"/>
      </w:pPr>
      <w:r>
        <w:t xml:space="preserve">Self-service password reset is permitted for workforce accounts only where it requires a second factor already registered to the account, and never with security questions or a single SMS code alone.</w:t>
      </w:r>
    </w:p>
    <w:p>
      <w:pPr>
        <w:pStyle w:val="ListParagraph"/>
        <w:numPr>
          <w:ilvl w:val="0"/>
          <w:numId w:val="2"/>
        </w:numPr>
        <w:spacing w:after="60" w:line="262"/>
      </w:pPr>
      <w:r>
        <w:t xml:space="preserve">Self-service reset is disabled for privileged accounts. Privileged recovery always goes through section 14.2 with a second verifier.</w:t>
      </w:r>
    </w:p>
    <w:p>
      <w:pPr>
        <w:pStyle w:val="ListParagraph"/>
        <w:numPr>
          <w:ilvl w:val="0"/>
          <w:numId w:val="2"/>
        </w:numPr>
        <w:spacing w:after="60" w:line="262"/>
      </w:pPr>
      <w:r>
        <w:t xml:space="preserve">Every self-service recovery sends a notification to the account holder and raises a low-priority event for review.</w:t>
      </w:r>
    </w:p>
    <w:p>
      <w:pPr>
        <w:spacing w:after="60" w:line="120"/>
      </w:pPr>
      <w:r>
        <w:rPr>
          <w:sz w:val="4"/>
          <w:szCs w:val="4"/>
        </w:rPr>
        <w:t xml:space="preserve"/>
      </w:r>
    </w:p>
    <w:p>
      <w:pPr>
        <w:pStyle w:val="Heading2"/>
        <w:keepNext/>
        <w:keepLines/>
        <w:spacing w:after="90" w:before="220"/>
      </w:pPr>
      <w:bookmarkStart w:name="_RG0044" w:id="1"/>
      <w:r>
        <w:t xml:space="preserve">14.4  Lost or stolen authenticator</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
        <w:gridCol w:w="3898"/>
        <w:gridCol w:w="1461"/>
        <w:gridCol w:w="1559"/>
        <w:gridCol w:w="2341"/>
      </w:tblGrid>
      <w:tr>
        <w:trPr>
          <w:cantSplit/>
          <w:tblHeader/>
        </w:trPr>
        <w:tc>
          <w:tcPr>
            <w:tcW w:type="dxa" w:w="48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Timing</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Account holder reports the loss to the service desk.</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Immediately on discovery</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Account holder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Ticket</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Verify identity under section 14.2.</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On report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Verification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Remove the lost authenticator from the account, revoke all sessions and refresh tokens, and, if the device held the password manager or the password, force a password change.</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Within 1 hour of report</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Method removal and revocation events</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If the lost item was a managed device, initiate remote lock or wipe through endpoint management.</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Within 1 hour of report</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Device action record</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Review sign-in log for the account from the last known possession of the authenticator to the time of removal.</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Within 1 working day</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Security monitoring owner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Review note</w:t>
            </w:r>
          </w:p>
        </w:tc>
      </w:tr>
      <w:tr>
        <w:trPr>
          <w:cantSplit/>
        </w:trPr>
        <w:tc>
          <w:tcPr>
            <w:tcW w:type="dxa" w:w="487"/>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Register a replacement authenticator using the account holder's backup method or the recovery procedure.</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Within 1 working day</w:t>
            </w:r>
          </w:p>
        </w:tc>
        <w:tc>
          <w:tcPr>
            <w:tcW w:type="dxa" w:w="1559"/>
            <w:shd w:fill="F2F4F6" w:color="auto" w:val="clear"/>
            <w:tcMar>
              <w:top w:type="dxa" w:w="70"/>
              <w:left w:type="dxa" w:w="100"/>
              <w:bottom w:type="dxa" w:w="70"/>
              <w:right w:type="dxa" w:w="100"/>
            </w:tcMar>
            <w:vAlign w:val="top"/>
          </w:tcPr>
          <w:p>
            <w:pPr>
              <w:spacing w:after="0" w:before="0" w:line="252"/>
            </w:pPr>
            <w:r>
              <w:rPr>
                <w:sz w:val="17"/>
                <w:szCs w:val="17"/>
              </w:rPr>
              <w:t xml:space="preserve">Account holder and service desk</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Registration event</w:t>
            </w:r>
          </w:p>
        </w:tc>
      </w:tr>
      <w:tr>
        <w:trPr>
          <w:cantSplit/>
        </w:trPr>
        <w:tc>
          <w:tcPr>
            <w:tcW w:type="dxa" w:w="487"/>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Recover or record the loss of any security key or token issued by the organization in the asset register.</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Within 5 working days</w:t>
            </w:r>
          </w:p>
        </w:tc>
        <w:tc>
          <w:tcPr>
            <w:tcW w:type="dxa" w:w="1559"/>
            <w:shd w:fill="FFFFFF" w:color="auto" w:val="clear"/>
            <w:tcMar>
              <w:top w:type="dxa" w:w="70"/>
              <w:left w:type="dxa" w:w="100"/>
              <w:bottom w:type="dxa" w:w="70"/>
              <w:right w:type="dxa" w:w="100"/>
            </w:tcMar>
            <w:vAlign w:val="top"/>
          </w:tcPr>
          <w:p>
            <w:pPr>
              <w:spacing w:after="0" w:before="0" w:line="252"/>
            </w:pPr>
            <w:r>
              <w:rPr>
                <w:sz w:val="17"/>
                <w:szCs w:val="17"/>
              </w:rPr>
              <w:t xml:space="preserve">Service desk</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Asset register update</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5" w:id="1"/>
      <w:r>
        <w:t xml:space="preserve">15.  Monitoring and alerting</w:t>
      </w:r>
      <w:bookmarkEnd w:id="1"/>
    </w:p>
    <w:p>
      <w:pPr>
        <w:spacing w:after="130" w:line="262"/>
      </w:pPr>
      <w:r>
        <w:t xml:space="preserve">Identity provider sign-in and audit logs are retained for at least 12 months, exported to storage the identity administrators cannot alter or delete where the identity provider's native retention is shorter. The following events raise alerts to the security monitoring owner, who records each alert, its triage and its outcome.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508"/>
        <w:gridCol w:w="1169"/>
        <w:gridCol w:w="1364"/>
        <w:gridCol w:w="3705"/>
      </w:tblGrid>
      <w:tr>
        <w:trPr>
          <w:cantSplit/>
          <w:tblHeader/>
        </w:trPr>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Event</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Priority</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Response time</w:t>
            </w:r>
          </w:p>
        </w:tc>
        <w:tc>
          <w:tcPr>
            <w:tcW w:type="dxa" w:w="370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Expected action</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Any sign-in attempt by an emergency access account</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Critical</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15 minutes</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Confirm against a declared emergency or test. Otherwise treat as an incident.</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Change to an access policy, authentication method setting or exclusion group membership</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Confirm against an approved change. Revert any unapproved change.</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Assignment or activation of a privileged role outside the just-in-time process</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Confirm against a request. Remove and investigate if none.</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Authentication method registered, removed or changed on a privileged account</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Contact the account holder through a known channel to confirm.</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Authentication method registered on a workforce account other than through the registration or recovery procedure</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Medium</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4 working hours</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Confirm with the account holder.</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Three or more denied or unanswered second-factor requests within 10 minutes</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Treat password as compromised under section 11.</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High-risk sign-in or user detection by the identity provider</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Confirm with the account holder, revoke sessions, reset password if not confirmed.</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Successful legacy authentication sign-in</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Identify the account and client. Block and remediate.</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Interactive sign-in by a service account</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Investigate. Disable the account if not explained.</w:t>
            </w: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New credential added to an existing application registration</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2F4F6" w:color="auto" w:val="clear"/>
            <w:tcMar>
              <w:top w:type="dxa" w:w="70"/>
              <w:left w:type="dxa" w:w="100"/>
              <w:bottom w:type="dxa" w:w="70"/>
              <w:right w:type="dxa" w:w="100"/>
            </w:tcMar>
            <w:vAlign w:val="top"/>
          </w:tcPr>
          <w:p>
            <w:pPr>
              <w:spacing w:after="0" w:before="0" w:line="252"/>
            </w:pPr>
            <w:r>
              <w:rPr>
                <w:sz w:val="17"/>
                <w:szCs w:val="17"/>
              </w:rPr>
              <w:t xml:space="preserve">Confirm with the service account owner.</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Sign-in from a blocked country or anonymizing network that succeeded</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1 hour</w:t>
            </w:r>
          </w:p>
        </w:tc>
        <w:tc>
          <w:tcPr>
            <w:tcW w:type="dxa" w:w="3705"/>
            <w:shd w:fill="FFFFFF" w:color="auto" w:val="clear"/>
            <w:tcMar>
              <w:top w:type="dxa" w:w="70"/>
              <w:left w:type="dxa" w:w="100"/>
              <w:bottom w:type="dxa" w:w="70"/>
              <w:right w:type="dxa" w:w="100"/>
            </w:tcMar>
            <w:vAlign w:val="top"/>
          </w:tcPr>
          <w:p>
            <w:pPr>
              <w:spacing w:after="0" w:before="0" w:line="252"/>
            </w:pPr>
            <w:r>
              <w:rPr>
                <w:sz w:val="17"/>
                <w:szCs w:val="17"/>
              </w:rPr>
              <w:t xml:space="preserve">Investigate the policy gap and the account.</w:t>
            </w:r>
          </w:p>
        </w:tc>
      </w:tr>
    </w:tbl>
    <w:p>
      <w:pPr>
        <w:spacing w:after="120" w:line="120"/>
      </w:pPr>
      <w:r>
        <w:rPr>
          <w:sz w:val="4"/>
          <w:szCs w:val="4"/>
        </w:rPr>
        <w:t xml:space="preserve"/>
      </w:r>
    </w:p>
    <w:p>
      <w:pPr>
        <w:spacing w:after="130" w:line="262"/>
      </w:pPr>
      <w:r>
        <w:t xml:space="preserve">The security monitoring owner reports the count of each alert type, the number confirmed as malicious and the number caused by unrecorded changes to the standard owner monthly. An alert type that has not fired for 90 days is tested by generating a benign instance of the event, so that a broken alert is not mistaken for a quiet one.</w:t>
      </w:r>
    </w:p>
    <w:p>
      <w:pPr>
        <w:spacing w:after="60" w:line="120"/>
      </w:pPr>
      <w:r>
        <w:rPr>
          <w:sz w:val="4"/>
          <w:szCs w:val="4"/>
        </w:rPr>
        <w:t xml:space="preserve"/>
      </w:r>
    </w:p>
    <w:p>
      <w:pPr>
        <w:pStyle w:val="Heading1"/>
        <w:keepNext/>
        <w:keepLines/>
        <w:pBdr>
          <w:bottom w:val="single" w:color="D4DAE0" w:sz="4" w:space="4"/>
        </w:pBdr>
        <w:spacing w:after="140" w:before="300"/>
      </w:pPr>
      <w:bookmarkStart w:name="_RG0046" w:id="1"/>
      <w:r>
        <w:t xml:space="preserve">16.  Exceptions</w:t>
      </w:r>
      <w:bookmarkEnd w:id="1"/>
    </w:p>
    <w:p>
      <w:pPr>
        <w:spacing w:after="130" w:line="262"/>
      </w:pPr>
      <w:r>
        <w:t xml:space="preserve">Any account, system or method that cannot meet a requirement of this standard is recorded as an exception before the deviation takes effect, using the form in Appendix B. No exception is valid without an expiry date.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067"/>
        <w:gridCol w:w="1754"/>
        <w:gridCol w:w="234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34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Requester completes Appendix B, stating the requirement not met, the accounts or systems affected, the reason, the compensating control, and the date by which the requirement will be met.</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Requester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Completed request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 confirms the facts and that the compensating control is in place and effective.</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Technical review on the request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Approver decides. The standard owner approves any exception affecting privileged, emergency access or third-party administrative accounts. Otherwise the identity administrator's manager may approve. The requester cannot approve.</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Approver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Signed decision</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Approved exception entered in the exception register with an expiry not more than 90 days ahead, or 30 days for a privileged account. Account added to the relevant exclusion group only now.</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Register entry, group change</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Seven days before expiry the owner is reminded. On expiry the account is removed from the exclusion group automatically or the same day, unless a renewal has been approved through steps 1 to 3.</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FFFFF" w:color="auto" w:val="clear"/>
            <w:tcMar>
              <w:top w:type="dxa" w:w="70"/>
              <w:left w:type="dxa" w:w="100"/>
              <w:bottom w:type="dxa" w:w="70"/>
              <w:right w:type="dxa" w:w="100"/>
            </w:tcMar>
            <w:vAlign w:val="top"/>
          </w:tcPr>
          <w:p>
            <w:pPr>
              <w:spacing w:after="0" w:before="0" w:line="252"/>
            </w:pPr>
            <w:r>
              <w:rPr>
                <w:sz w:val="17"/>
                <w:szCs w:val="17"/>
              </w:rPr>
              <w:t xml:space="preserve">Removal record or renewal</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An exception renewed twice is escalated to the standard owner with a plan to end it.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2341"/>
            <w:shd w:fill="F2F4F6" w:color="auto" w:val="clear"/>
            <w:tcMar>
              <w:top w:type="dxa" w:w="70"/>
              <w:left w:type="dxa" w:w="100"/>
              <w:bottom w:type="dxa" w:w="70"/>
              <w:right w:type="dxa" w:w="100"/>
            </w:tcMar>
            <w:vAlign w:val="top"/>
          </w:tcPr>
          <w:p>
            <w:pPr>
              <w:spacing w:after="0" w:before="0" w:line="252"/>
            </w:pPr>
            <w:r>
              <w:rPr>
                <w:sz w:val="17"/>
                <w:szCs w:val="17"/>
              </w:rPr>
              <w:t xml:space="preserve">Escalation record</w:t>
            </w:r>
          </w:p>
        </w:tc>
      </w:tr>
    </w:tbl>
    <w:p>
      <w:pPr>
        <w:spacing w:after="120" w:line="120"/>
      </w:pPr>
      <w:r>
        <w:rPr>
          <w:sz w:val="4"/>
          <w:szCs w:val="4"/>
        </w:rPr>
        <w:t xml:space="preserve"/>
      </w:r>
    </w:p>
    <w:p>
      <w:pPr>
        <w:spacing w:after="130" w:line="262"/>
      </w:pPr>
      <w:r>
        <w:t xml:space="preserve">Travel to a blocked location is handled by a time-limited exception for the travel dates only, applied by placing the account in a travel exclusion group with a scheduled removal, and does not remove the second-factor requirement.</w:t>
      </w:r>
    </w:p>
    <w:p>
      <w:pPr>
        <w:spacing w:after="60" w:line="120"/>
      </w:pPr>
      <w:r>
        <w:rPr>
          <w:sz w:val="4"/>
          <w:szCs w:val="4"/>
        </w:rPr>
        <w:t xml:space="preserve"/>
      </w:r>
    </w:p>
    <w:p>
      <w:pPr>
        <w:pStyle w:val="Heading1"/>
        <w:keepNext/>
        <w:keepLines/>
        <w:pBdr>
          <w:bottom w:val="single" w:color="D4DAE0" w:sz="4" w:space="4"/>
        </w:pBdr>
        <w:spacing w:after="140" w:before="300"/>
      </w:pPr>
      <w:bookmarkStart w:name="_RG0047" w:id="1"/>
      <w:r>
        <w:t xml:space="preserve">17.  Evidence of operation</w:t>
      </w:r>
      <w:bookmarkEnd w:id="1"/>
    </w:p>
    <w:p>
      <w:pPr>
        <w:spacing w:after="130" w:line="262"/>
      </w:pPr>
      <w:r>
        <w:t xml:space="preserve">Each requirement below is demonstrated by the artifact named, covering the population stated. An artifact that covers a sample when the population is stated as all is not sufficient evidence. Exports are dated, saved unaltered, and retained for at least 24 months.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3508"/>
        <w:gridCol w:w="2144"/>
        <w:gridCol w:w="1561"/>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Artifact</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Population</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Frequency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Every enabled account is covered by an enforced second factor (sections 4, 6, 7)</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Account export reconciled against authentication methods export and policy export, recorded in Appendix A</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enabled accounts able to sign in interactively</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Second-factor policies are enforced, not reporting</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Access policy export showing each policy's state as On, with included and excluded users and groups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policies requiring a second factor or blocking legacy authentication</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Monthly, and on every change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Legacy authentication is blocked (7.3)</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Legacy-blocking policy export in On state; sign-in log query for legacy protocol sign-ins showing failures only and no successes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sign-ins in the period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Only permitted methods are enabled (5)</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Authentication method settings export showing approval-only push, email codes and security questions disabled</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Tenant-wide method settings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SMS and voice restricted (5.3)</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List of accounts with SMS or voice registered, each matched to an exception</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enabled accounts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Privileged accounts use phishing-resistant methods (6.2)</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Policy export requiring phishing-resistant strength for privileged roles; methods export for every privileged role holder; sign-in log sample showing the method used</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accounts eligible for or holding a privileged role</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No standing privileged access (6.2)</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Role assignment export showing active and eligible assignments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privileged roles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Emergency access accounts controlled (8)</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Register in Appendix D; alert rule configuration; test log with alert timestamps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emergency access accounts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Every 90 days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Exclusions match approved exceptions (7.4, 16)</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Exclusion group membership export reconciled to the exception register</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exclusion groups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Service accounts controlled (9)</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Workload identity inventory with owner, credential type and expiry; policy export blocking interactive sign-in for user-type service accounts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service accounts and workload identities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Password settings (10)</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Password policy export or screenshot for the identity provider and each system outside single sign-on</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Identity provider and every system in the 6.4 list</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Annually and on change</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Push fatigue controls (11)</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Method settings export showing number matching; alert rule configuration for repeated denials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Tenant-wide</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Session limits (12)</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Session control policy export</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session policies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Recovery verified (14)</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Recovery tickets with completed Appendix C checklists; audit log of method changes reconciled to tickets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recoveries in the period</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Monitoring operating (15)</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Alert log with triage outcomes; test records for alerts silent for 90 days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All alert types in section 15</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Guest and third-party access reviewed (6.3)</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Guest and delegated administration export with sponsor confirmation</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All guest accounts and delegated relationships</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Quarterly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Systems outside single sign-on meet 6.4</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Per-system evidence supplied by the system owner</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Every system in the 6.4 list</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Quarterly</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WHAT AN ASSESSOR WILL ASK FOR FIRST</w:t>
            </w:r>
          </w:p>
          <w:p>
            <w:pPr>
              <w:spacing w:after="0" w:line="262"/>
            </w:pPr>
            <w:r>
              <w:t xml:space="preserve">The authentication methods export for every enabled account, the access policy export showing state On, and a sign-in log query showing legacy authentication blocked. If those three can be produced in an hour and reconcile to each other, most of this standard is demonstrably operating.</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8" w:id="1"/>
      <w:r>
        <w:t xml:space="preserve">18.  Review and maintenance</w:t>
      </w:r>
      <w:bookmarkEnd w:id="1"/>
    </w:p>
    <w:p>
      <w:pPr>
        <w:pStyle w:val="ListParagraph"/>
        <w:numPr>
          <w:ilvl w:val="0"/>
          <w:numId w:val="2"/>
        </w:numPr>
        <w:spacing w:after="60" w:line="262"/>
      </w:pPr>
      <w:r>
        <w:t xml:space="preserve">This standard is reviewed by the standard owner at planned intervals, not less than annually, and after any authentication-related security incident, any change of identity provider, or a revision of NIST SP 800-63B.</w:t>
      </w:r>
    </w:p>
    <w:p>
      <w:pPr>
        <w:pStyle w:val="ListParagraph"/>
        <w:numPr>
          <w:ilvl w:val="0"/>
          <w:numId w:val="2"/>
        </w:numPr>
        <w:spacing w:after="60" w:line="262"/>
      </w:pPr>
      <w:r>
        <w:t xml:space="preserve">The standard owner receives a quarterly report containing the coverage figure from section 4, the list of open exceptions with expiry dates, the count of recoveries and refused recoveries, and the alert summary from section 15.</w:t>
      </w:r>
    </w:p>
    <w:p>
      <w:pPr>
        <w:pStyle w:val="ListParagraph"/>
        <w:numPr>
          <w:ilvl w:val="0"/>
          <w:numId w:val="2"/>
        </w:numPr>
        <w:spacing w:after="60" w:line="262"/>
      </w:pPr>
      <w:r>
        <w:t xml:space="preserve">Findings from the monthly reconciliation that remain open past their remediation date are reported to the standard owner at the next quarterly report, or immediately for privileged accounts.</w:t>
      </w:r>
    </w:p>
    <w:p>
      <w:pPr>
        <w:spacing w:after="60" w:line="120"/>
      </w:pPr>
      <w:r>
        <w:rPr>
          <w:sz w:val="4"/>
          <w:szCs w:val="4"/>
        </w:rPr>
        <w:t xml:space="preserve"/>
      </w:r>
    </w:p>
    <w:p>
      <w:pPr>
        <w:pStyle w:val="Heading1"/>
        <w:keepNext/>
        <w:keepLines/>
        <w:pBdr>
          <w:bottom w:val="single" w:color="D4DAE0" w:sz="4" w:space="4"/>
        </w:pBdr>
        <w:spacing w:after="140" w:before="300"/>
      </w:pPr>
      <w:bookmarkStart w:name="_RG0049" w:id="1"/>
      <w:r>
        <w:t xml:space="preserve">19.  What this document cannot do</w:t>
      </w:r>
      <w:bookmarkEnd w:id="1"/>
    </w:p>
    <w:p>
      <w:pPr>
        <w:pStyle w:val="ListParagraph"/>
        <w:numPr>
          <w:ilvl w:val="0"/>
          <w:numId w:val="2"/>
        </w:numPr>
        <w:spacing w:after="60" w:line="262"/>
      </w:pPr>
      <w:r>
        <w:t xml:space="preserve">It cannot make a policy enforced. It states what must be true and how to prove it. Whether it is true is shown only by the exports in section 17, produced from the live system.</w:t>
      </w:r>
    </w:p>
    <w:p>
      <w:pPr>
        <w:pStyle w:val="ListParagraph"/>
        <w:numPr>
          <w:ilvl w:val="0"/>
          <w:numId w:val="2"/>
        </w:numPr>
        <w:spacing w:after="60" w:line="262"/>
      </w:pPr>
      <w:r>
        <w:t xml:space="preserve">It cannot stop theft of a session token after sign-in. Phishing-resistant authenticators prevent the relay of a sign-in, and session limits bound the value of a stolen token, but malware on an endpoint that steals tokens is addressed by endpoint controls outside this standard.</w:t>
      </w:r>
    </w:p>
    <w:p>
      <w:pPr>
        <w:pStyle w:val="ListParagraph"/>
        <w:numPr>
          <w:ilvl w:val="0"/>
          <w:numId w:val="2"/>
        </w:numPr>
        <w:spacing w:after="60" w:line="262"/>
      </w:pPr>
      <w:r>
        <w:t xml:space="preserve">It cannot protect an account whose holder approves a request deliberately, or a service desk that ignores its own procedure. It reduces the likelihood of both through number matching and callback verification, and makes both visible through alerts.</w:t>
      </w:r>
    </w:p>
    <w:p>
      <w:pPr>
        <w:pStyle w:val="ListParagraph"/>
        <w:numPr>
          <w:ilvl w:val="0"/>
          <w:numId w:val="2"/>
        </w:numPr>
        <w:spacing w:after="60" w:line="262"/>
      </w:pPr>
      <w:r>
        <w:t xml:space="preserve">It cannot cover systems the organization does not know about. A software service bought on a card and never connected to single sign-on is outside every control here until it is found and added to the 6.4 list.</w:t>
      </w:r>
    </w:p>
    <w:p>
      <w:pPr>
        <w:pStyle w:val="ListParagraph"/>
        <w:numPr>
          <w:ilvl w:val="0"/>
          <w:numId w:val="2"/>
        </w:numPr>
        <w:spacing w:after="60" w:line="262"/>
      </w:pPr>
      <w:r>
        <w:t xml:space="preserve">It does not configure any product. Setting names change as identity providers evolve; the requirement is what remains fixed.</w:t>
      </w:r>
    </w:p>
    <w:p>
      <w:pPr>
        <w:pStyle w:val="ListParagraph"/>
        <w:numPr>
          <w:ilvl w:val="0"/>
          <w:numId w:val="2"/>
        </w:numPr>
        <w:spacing w:after="60" w:line="262"/>
      </w:pPr>
      <w:r>
        <w:t xml:space="preserve">It is not a statement that the organization's authentication is secure. Meeting it removes the routes around a second factor that are most often used, and produces the evidence to show that. It does not guarantee that no account will be compromised.</w:t>
      </w:r>
    </w:p>
    <w:p>
      <w:pPr>
        <w:pStyle w:val="Heading1"/>
        <w:keepNext/>
        <w:keepLines/>
        <w:pageBreakBefore/>
        <w:pBdr>
          <w:bottom w:val="single" w:color="D4DAE0" w:sz="4" w:space="4"/>
        </w:pBdr>
        <w:spacing w:after="140" w:before="300"/>
      </w:pPr>
      <w:bookmarkStart w:name="_RG0050" w:id="1"/>
      <w:r>
        <w:t xml:space="preserve">Appendix A.  MFA coverage reconciliation record</w:t>
      </w:r>
      <w:bookmarkEnd w:id="1"/>
    </w:p>
    <w:p>
      <w:pPr>
        <w:spacing w:after="130" w:line="262"/>
      </w:pPr>
      <w:r>
        <w:t xml:space="preserve">Completed monthly by the identity administrator under section 4.2 and signed by the standard owner. Attach the exports referenced.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5848"/>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84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Reconciliation period</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Date performed</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Performed by</w:t>
            </w:r>
          </w:p>
        </w:tc>
        <w:tc>
          <w:tcPr>
            <w:tcW w:type="dxa" w:w="5848"/>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Account export file name and date</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Authentication methods export file name and date</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Policy export file name and date</w:t>
            </w:r>
          </w:p>
        </w:tc>
        <w:tc>
          <w:tcPr>
            <w:tcW w:type="dxa" w:w="5848"/>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Coverage summary</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118"/>
        <w:gridCol w:w="1656"/>
        <w:gridCol w:w="1656"/>
        <w:gridCol w:w="1656"/>
        <w:gridCol w:w="1660"/>
      </w:tblGrid>
      <w:tr>
        <w:trPr>
          <w:cantSplit/>
          <w:tblHeader/>
        </w:trPr>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 type</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Enabled accounts</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Enforced</w:t>
            </w:r>
          </w:p>
        </w:tc>
        <w:tc>
          <w:tcPr>
            <w:tcW w:type="dxa" w:w="16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Excepted</w:t>
            </w:r>
          </w:p>
        </w:tc>
        <w:tc>
          <w:tcPr>
            <w:tcW w:type="dxa" w:w="166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Uncovered without exception</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Workforce</w:t>
            </w: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60"/>
            <w:shd w:fill="FFFFFF" w:color="auto" w:val="clear"/>
            <w:tcMar>
              <w:top w:type="dxa" w:w="70"/>
              <w:left w:type="dxa" w:w="100"/>
              <w:bottom w:type="dxa" w:w="70"/>
              <w:right w:type="dxa" w:w="100"/>
            </w:tcMar>
            <w:vAlign w:val="top"/>
          </w:tcPr>
          <w:p>
            <w:pPr>
              <w:spacing w:after="0" w:before="0" w:line="252"/>
            </w:pP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Privileged</w:t>
            </w: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60"/>
            <w:shd w:fill="F2F4F6" w:color="auto" w:val="clear"/>
            <w:tcMar>
              <w:top w:type="dxa" w:w="70"/>
              <w:left w:type="dxa" w:w="100"/>
              <w:bottom w:type="dxa" w:w="70"/>
              <w:right w:type="dxa" w:w="100"/>
            </w:tcMar>
            <w:vAlign w:val="top"/>
          </w:tcPr>
          <w:p>
            <w:pPr>
              <w:spacing w:after="0" w:before="0" w:line="252"/>
            </w:pP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Emergency access</w:t>
            </w: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60"/>
            <w:shd w:fill="FFFFFF" w:color="auto" w:val="clear"/>
            <w:tcMar>
              <w:top w:type="dxa" w:w="70"/>
              <w:left w:type="dxa" w:w="100"/>
              <w:bottom w:type="dxa" w:w="70"/>
              <w:right w:type="dxa" w:w="100"/>
            </w:tcMar>
            <w:vAlign w:val="top"/>
          </w:tcPr>
          <w:p>
            <w:pPr>
              <w:spacing w:after="0" w:before="0" w:line="252"/>
            </w:pP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Service account (user-type)</w:t>
            </w: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60"/>
            <w:shd w:fill="F2F4F6" w:color="auto" w:val="clear"/>
            <w:tcMar>
              <w:top w:type="dxa" w:w="70"/>
              <w:left w:type="dxa" w:w="100"/>
              <w:bottom w:type="dxa" w:w="70"/>
              <w:right w:type="dxa" w:w="100"/>
            </w:tcMar>
            <w:vAlign w:val="top"/>
          </w:tcPr>
          <w:p>
            <w:pPr>
              <w:spacing w:after="0" w:before="0" w:line="252"/>
            </w:pP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Workload identity</w:t>
            </w: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60"/>
            <w:shd w:fill="FFFFFF" w:color="auto" w:val="clear"/>
            <w:tcMar>
              <w:top w:type="dxa" w:w="70"/>
              <w:left w:type="dxa" w:w="100"/>
              <w:bottom w:type="dxa" w:w="70"/>
              <w:right w:type="dxa" w:w="100"/>
            </w:tcMar>
            <w:vAlign w:val="top"/>
          </w:tcPr>
          <w:p>
            <w:pPr>
              <w:spacing w:after="0" w:before="0" w:line="252"/>
            </w:pP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Shared or functional</w:t>
            </w: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60"/>
            <w:shd w:fill="F2F4F6" w:color="auto" w:val="clear"/>
            <w:tcMar>
              <w:top w:type="dxa" w:w="70"/>
              <w:left w:type="dxa" w:w="100"/>
              <w:bottom w:type="dxa" w:w="70"/>
              <w:right w:type="dxa" w:w="100"/>
            </w:tcMar>
            <w:vAlign w:val="top"/>
          </w:tcPr>
          <w:p>
            <w:pPr>
              <w:spacing w:after="0" w:before="0" w:line="252"/>
            </w:pP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Guest and external</w:t>
            </w: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60"/>
            <w:shd w:fill="FFFFFF" w:color="auto" w:val="clear"/>
            <w:tcMar>
              <w:top w:type="dxa" w:w="70"/>
              <w:left w:type="dxa" w:w="100"/>
              <w:bottom w:type="dxa" w:w="70"/>
              <w:right w:type="dxa" w:w="100"/>
            </w:tcMar>
            <w:vAlign w:val="top"/>
          </w:tcPr>
          <w:p>
            <w:pPr>
              <w:spacing w:after="0" w:before="0" w:line="252"/>
            </w:pP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Third-party administrative</w:t>
            </w: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56"/>
            <w:shd w:fill="F2F4F6" w:color="auto" w:val="clear"/>
            <w:tcMar>
              <w:top w:type="dxa" w:w="70"/>
              <w:left w:type="dxa" w:w="100"/>
              <w:bottom w:type="dxa" w:w="70"/>
              <w:right w:type="dxa" w:w="100"/>
            </w:tcMar>
            <w:vAlign w:val="top"/>
          </w:tcPr>
          <w:p>
            <w:pPr>
              <w:spacing w:after="0" w:before="0" w:line="252"/>
            </w:pPr>
          </w:p>
        </w:tc>
        <w:tc>
          <w:tcPr>
            <w:tcW w:type="dxa" w:w="1660"/>
            <w:shd w:fill="F2F4F6" w:color="auto" w:val="clear"/>
            <w:tcMar>
              <w:top w:type="dxa" w:w="70"/>
              <w:left w:type="dxa" w:w="100"/>
              <w:bottom w:type="dxa" w:w="70"/>
              <w:right w:type="dxa" w:w="100"/>
            </w:tcMar>
            <w:vAlign w:val="top"/>
          </w:tcPr>
          <w:p>
            <w:pPr>
              <w:spacing w:after="0" w:before="0" w:line="252"/>
            </w:pP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Total</w:t>
            </w: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56"/>
            <w:shd w:fill="FFFFFF" w:color="auto" w:val="clear"/>
            <w:tcMar>
              <w:top w:type="dxa" w:w="70"/>
              <w:left w:type="dxa" w:w="100"/>
              <w:bottom w:type="dxa" w:w="70"/>
              <w:right w:type="dxa" w:w="100"/>
            </w:tcMar>
            <w:vAlign w:val="top"/>
          </w:tcPr>
          <w:p>
            <w:pPr>
              <w:spacing w:after="0" w:before="0" w:line="252"/>
            </w:pPr>
          </w:p>
        </w:tc>
        <w:tc>
          <w:tcPr>
            <w:tcW w:type="dxa" w:w="166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130" w:line="262"/>
      </w:pPr>
      <w:r>
        <w:t xml:space="preserve">Coverage figure (enforced divided by enabled interactive accounts, as a percentage): ______</w:t>
      </w:r>
    </w:p>
    <w:p>
      <w:pPr>
        <w:keepNext/>
        <w:spacing w:after="70" w:before="180"/>
      </w:pPr>
      <w:r>
        <w:rPr>
          <w:b/>
          <w:bCs/>
          <w:color w:val="15314B"/>
          <w:sz w:val="19"/>
          <w:szCs w:val="19"/>
        </w:rPr>
        <w:t xml:space="preserve">Policy state check</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923"/>
        <w:gridCol w:w="1169"/>
        <w:gridCol w:w="1364"/>
        <w:gridCol w:w="2339"/>
        <w:gridCol w:w="1951"/>
      </w:tblGrid>
      <w:tr>
        <w:trPr>
          <w:cantSplit/>
          <w:tblHeader/>
        </w:trPr>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Policy name</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State</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Days in report-only</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Exclusion groups</w:t>
            </w:r>
          </w:p>
        </w:tc>
        <w:tc>
          <w:tcPr>
            <w:tcW w:type="dxa" w:w="19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Finding</w:t>
            </w:r>
          </w:p>
        </w:tc>
      </w:tr>
      <w:tr>
        <w:trPr>
          <w:cantSplit/>
        </w:trPr>
        <w:tc>
          <w:tcPr>
            <w:tcW w:type="dxa" w:w="292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923"/>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92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r>
        <w:trPr>
          <w:cantSplit/>
        </w:trPr>
        <w:tc>
          <w:tcPr>
            <w:tcW w:type="dxa" w:w="2923"/>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951"/>
            <w:shd w:fill="F2F4F6" w:color="auto" w:val="clear"/>
            <w:tcMar>
              <w:top w:type="dxa" w:w="70"/>
              <w:left w:type="dxa" w:w="100"/>
              <w:bottom w:type="dxa" w:w="70"/>
              <w:right w:type="dxa" w:w="100"/>
            </w:tcMar>
            <w:vAlign w:val="top"/>
          </w:tcPr>
          <w:p>
            <w:pPr>
              <w:spacing w:after="0" w:before="0" w:line="252"/>
            </w:pPr>
          </w:p>
        </w:tc>
      </w:tr>
      <w:tr>
        <w:trPr>
          <w:cantSplit/>
        </w:trPr>
        <w:tc>
          <w:tcPr>
            <w:tcW w:type="dxa" w:w="292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5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Uncovered and excepted accounts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1364"/>
        <w:gridCol w:w="2339"/>
        <w:gridCol w:w="1949"/>
        <w:gridCol w:w="1950"/>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Type</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Reason not covered</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Exception reference and expiry</w:t>
            </w:r>
          </w:p>
        </w:tc>
        <w:tc>
          <w:tcPr>
            <w:tcW w:type="dxa" w:w="195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 and due date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214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50"/>
            <w:shd w:fill="F2F4F6" w:color="auto" w:val="clear"/>
            <w:tcMar>
              <w:top w:type="dxa" w:w="70"/>
              <w:left w:type="dxa" w:w="100"/>
              <w:bottom w:type="dxa" w:w="70"/>
              <w:right w:type="dxa" w:w="100"/>
            </w:tcMar>
            <w:vAlign w:val="top"/>
          </w:tcPr>
          <w:p>
            <w:pPr>
              <w:spacing w:after="0" w:before="0" w:line="252"/>
            </w:pP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214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950"/>
            <w:shd w:fill="F2F4F6" w:color="auto" w:val="clear"/>
            <w:tcMar>
              <w:top w:type="dxa" w:w="70"/>
              <w:left w:type="dxa" w:w="100"/>
              <w:bottom w:type="dxa" w:w="70"/>
              <w:right w:type="dxa" w:w="100"/>
            </w:tcMar>
            <w:vAlign w:val="top"/>
          </w:tcPr>
          <w:p>
            <w:pPr>
              <w:spacing w:after="0" w:before="0" w:line="252"/>
            </w:pPr>
          </w:p>
        </w:tc>
      </w:tr>
      <w:tr>
        <w:trPr>
          <w:cantSplit/>
        </w:trPr>
        <w:tc>
          <w:tcPr>
            <w:tcW w:type="dxa" w:w="214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Sign-in log checks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508"/>
        <w:gridCol w:w="2728"/>
        <w:gridCol w:w="1364"/>
        <w:gridCol w:w="2146"/>
      </w:tblGrid>
      <w:tr>
        <w:trPr>
          <w:cantSplit/>
          <w:tblHeader/>
        </w:trPr>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Check</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Query or report used</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Result count</w:t>
            </w:r>
          </w:p>
        </w:tc>
        <w:tc>
          <w:tcPr>
            <w:tcW w:type="dxa" w:w="214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Finding</w:t>
            </w: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Successful legacy authentication sign-ins</w:t>
            </w: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Interactive single-factor sign-ins by covered accounts</w:t>
            </w: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Interactive sign-ins by service accounts</w:t>
            </w: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Privileged sign-ins without phishing-resistant method</w:t>
            </w: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Report-only policies older than 14 days</w:t>
            </w: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r>
        <w:trPr>
          <w:cantSplit/>
        </w:trPr>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Exclusion group members without current exception</w:t>
            </w: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146"/>
            <w:shd w:fill="F2F4F6" w:color="auto" w:val="clear"/>
            <w:tcMar>
              <w:top w:type="dxa" w:w="70"/>
              <w:left w:type="dxa" w:w="100"/>
              <w:bottom w:type="dxa" w:w="70"/>
              <w:right w:type="dxa" w:w="100"/>
            </w:tcMar>
            <w:vAlign w:val="top"/>
          </w:tcPr>
          <w:p>
            <w:pPr>
              <w:spacing w:after="0" w:before="0" w:line="252"/>
            </w:pPr>
          </w:p>
        </w:tc>
      </w:tr>
      <w:tr>
        <w:trPr>
          <w:cantSplit/>
        </w:trPr>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Credentials expiring in next 30 days</w:t>
            </w: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14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3411"/>
        <w:gridCol w:w="2437"/>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Sign-off</w:t>
            </w:r>
          </w:p>
        </w:tc>
        <w:tc>
          <w:tcPr>
            <w:tcW w:type="dxa" w:w="341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Name</w:t>
            </w:r>
          </w:p>
        </w:tc>
        <w:tc>
          <w:tcPr>
            <w:tcW w:type="dxa" w:w="243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Identity administrator</w:t>
            </w:r>
          </w:p>
        </w:tc>
        <w:tc>
          <w:tcPr>
            <w:tcW w:type="dxa" w:w="3411"/>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437"/>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Standard owner</w:t>
            </w:r>
          </w:p>
        </w:tc>
        <w:tc>
          <w:tcPr>
            <w:tcW w:type="dxa" w:w="341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c>
          <w:tcPr>
            <w:tcW w:type="dxa" w:w="243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1" w:id="1"/>
      <w:r>
        <w:t xml:space="preserve">Appendix B.  Exception request form</w:t>
      </w:r>
      <w:bookmarkEnd w:id="1"/>
    </w:p>
    <w:p>
      <w:pPr>
        <w:spacing w:after="130" w:line="262"/>
      </w:pPr>
      <w:r>
        <w:t xml:space="preserve">Completed by the requester under section 16 before any deviation takes effect. Entered in the exception register on approval.</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Exception reference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Requester</w:t>
            </w:r>
          </w:p>
        </w:tc>
        <w:tc>
          <w:tcPr>
            <w:tcW w:type="dxa" w:w="536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Date of request</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Requirement not met (section number and text)</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Accounts or systems affected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Account type of each</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Reason the requirement cannot be met</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Risk if exploited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Compensating control in place (describe and attach evidence)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Exclusion group the account will be placed in</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Date by which the requirement will be met</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Requested expiry date (not more than 90 days, or 30 for privileged)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Is this a renewal? If so, previous references</w:t>
            </w:r>
          </w:p>
        </w:tc>
        <w:tc>
          <w:tcPr>
            <w:tcW w:type="dxa" w:w="53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Review and decision</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Technical review by identity administrator</w:t>
            </w:r>
          </w:p>
        </w:tc>
        <w:tc>
          <w:tcPr>
            <w:tcW w:type="dxa" w:w="5361"/>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Compensating control confirmed effective (yes or no, with evidence)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Decision (approved, approved with conditions, refused)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Conditions</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Approver</w:t>
            </w:r>
          </w:p>
        </w:tc>
        <w:tc>
          <w:tcPr>
            <w:tcW w:type="dxa" w:w="5361"/>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Approval date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Expiry date set in register</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Date removed from exclusion group</w:t>
            </w:r>
          </w:p>
        </w:tc>
        <w:tc>
          <w:tcPr>
            <w:tcW w:type="dxa" w:w="53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2" w:id="1"/>
      <w:r>
        <w:t xml:space="preserve">Appendix C.  Authenticator reset verification checklist</w:t>
      </w:r>
      <w:bookmarkEnd w:id="1"/>
    </w:p>
    <w:p>
      <w:pPr>
        <w:spacing w:after="130" w:line="262"/>
      </w:pPr>
      <w:r>
        <w:t xml:space="preserve">Completed by the service desk for every password reset, authenticator registration, removal or temporary credential issued under section 14.2 or 14.4, and attached to the ticket. Any item answered no stops the procedure.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Ticket reference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Account</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Account type (workforce, privileged, guest, third-party)</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Request (password reset, new method, remove method, temporary credential, lost device)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Inbound channel and time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Service desk member</w:t>
            </w:r>
          </w:p>
        </w:tc>
        <w:tc>
          <w:tcPr>
            <w:tcW w:type="dxa" w:w="536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5262"/>
        <w:gridCol w:w="1169"/>
        <w:gridCol w:w="2731"/>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26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Check</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Yes or no</w:t>
            </w:r>
          </w:p>
        </w:tc>
        <w:tc>
          <w:tcPr>
            <w:tcW w:type="dxa" w:w="27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Inbound contact ended without any change made</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Callback made to a number or account recorded before the request (state source)</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Person seen on video or in person</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Photo identity compared to human resources record, or line manager confirmed identity by sight after independent contact</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No reliance placed on knowledge facts (employee ID, date of birth, manager name, address)</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For privileged accounts: second verifier independently confirmed (name)</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Request consistent with account holder's circumstances (not on leave, not a leaver, no open security alert)</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8</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Sessions and refresh tokens revoked</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9</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Old or lost authenticator removed</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10</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Temporary credential single-use and valid for not more than 1 hour</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New method registered during contact and confirmed in methods export</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5262"/>
            <w:shd w:fill="F2F4F6" w:color="auto" w:val="clear"/>
            <w:tcMar>
              <w:top w:type="dxa" w:w="70"/>
              <w:left w:type="dxa" w:w="100"/>
              <w:bottom w:type="dxa" w:w="70"/>
              <w:right w:type="dxa" w:w="100"/>
            </w:tcMar>
            <w:vAlign w:val="top"/>
          </w:tcPr>
          <w:p>
            <w:pPr>
              <w:spacing w:after="0" w:before="0" w:line="252"/>
            </w:pPr>
            <w:r>
              <w:rPr>
                <w:sz w:val="17"/>
                <w:szCs w:val="17"/>
              </w:rPr>
              <w:t xml:space="preserve">Account holder notified by second channel; line manager notified</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5262"/>
            <w:shd w:fill="FFFFFF" w:color="auto" w:val="clear"/>
            <w:tcMar>
              <w:top w:type="dxa" w:w="70"/>
              <w:left w:type="dxa" w:w="100"/>
              <w:bottom w:type="dxa" w:w="70"/>
              <w:right w:type="dxa" w:w="100"/>
            </w:tcMar>
            <w:vAlign w:val="top"/>
          </w:tcPr>
          <w:p>
            <w:pPr>
              <w:spacing w:after="0" w:before="0" w:line="252"/>
            </w:pPr>
            <w:r>
              <w:rPr>
                <w:sz w:val="17"/>
                <w:szCs w:val="17"/>
              </w:rPr>
              <w:t xml:space="preserve">Security monitoring owner notified for 7-day sign-in review</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Outcome</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Completed or refused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If refused, reason and who was informed</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Pressure or urgency applied by requester (describe)</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Signature and date</w:t>
            </w:r>
          </w:p>
        </w:tc>
        <w:tc>
          <w:tcPr>
            <w:tcW w:type="dxa" w:w="53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3" w:id="1"/>
      <w:r>
        <w:t xml:space="preserve">Appendix D.  Break-glass account register</w:t>
      </w:r>
      <w:bookmarkEnd w:id="1"/>
    </w:p>
    <w:p>
      <w:pPr>
        <w:spacing w:after="130" w:line="262"/>
      </w:pPr>
      <w:r>
        <w:t xml:space="preserve">Maintained by the identity administrator under section 8. One row per emergency access account. Credentials themselves are never recorded here.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2923"/>
        <w:gridCol w:w="2925"/>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 1</w:t>
            </w:r>
          </w:p>
        </w:tc>
        <w:tc>
          <w:tcPr>
            <w:tcW w:type="dxa" w:w="292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 2</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Account name</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Cloud-only, not federated or synchronized (confirmed)</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Role held, permanent assignment (confirmed)</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Exclusion group</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Authenticator type and serial or identifier</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Password length and split or seal method</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Storage location of authenticator</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Storage location of credential</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Persons authorized to retrieve</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Alert rule name and recipients</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Exempt from automated cleanup and expiry (confirmed)</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Date created</w:t>
            </w:r>
          </w:p>
        </w:tc>
        <w:tc>
          <w:tcPr>
            <w:tcW w:type="dxa" w:w="2923"/>
            <w:shd w:fill="F2F4F6" w:color="auto" w:val="clear"/>
            <w:tcMar>
              <w:top w:type="dxa" w:w="70"/>
              <w:left w:type="dxa" w:w="100"/>
              <w:bottom w:type="dxa" w:w="70"/>
              <w:right w:type="dxa" w:w="100"/>
            </w:tcMar>
            <w:vAlign w:val="top"/>
          </w:tcPr>
          <w:p>
            <w:pPr>
              <w:spacing w:after="0" w:before="0" w:line="252"/>
            </w:pPr>
          </w:p>
        </w:tc>
        <w:tc>
          <w:tcPr>
            <w:tcW w:type="dxa" w:w="2925"/>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Last reviewed by standard owner</w:t>
            </w:r>
          </w:p>
        </w:tc>
        <w:tc>
          <w:tcPr>
            <w:tcW w:type="dxa" w:w="2923"/>
            <w:shd w:fill="FFFFFF" w:color="auto" w:val="clear"/>
            <w:tcMar>
              <w:top w:type="dxa" w:w="70"/>
              <w:left w:type="dxa" w:w="100"/>
              <w:bottom w:type="dxa" w:w="70"/>
              <w:right w:type="dxa" w:w="100"/>
            </w:tcMar>
            <w:vAlign w:val="top"/>
          </w:tcPr>
          <w:p>
            <w:pPr>
              <w:spacing w:after="0" w:before="0" w:line="252"/>
            </w:pPr>
          </w:p>
        </w:tc>
        <w:tc>
          <w:tcPr>
            <w:tcW w:type="dxa" w:w="2925"/>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Test and use log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559"/>
        <w:gridCol w:w="1559"/>
        <w:gridCol w:w="2339"/>
        <w:gridCol w:w="1364"/>
        <w:gridCol w:w="1756"/>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Account</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Test or emergency</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Retrieved by and witness</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Sign-in succeeded</w:t>
            </w:r>
          </w:p>
        </w:tc>
        <w:tc>
          <w:tcPr>
            <w:tcW w:type="dxa" w:w="17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Alert received and time</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4" w:id="1"/>
      <w:r>
        <w:t xml:space="preserve">Appendix E.  Guidance for adoption in Microsoft Entra ID and Google Workspace</w:t>
      </w:r>
      <w:bookmarkEnd w:id="1"/>
    </w:p>
    <w:p>
      <w:pPr>
        <w:spacing w:after="130" w:line="262"/>
      </w:pPr>
      <w:r>
        <w:t xml:space="preserve">This appendix is guidance, not part of the standard's requirements. It points to where each requirement is usually configured and evidenced on two common identity providers. Setting names were checked against the vendors' own documentation in October 2026 and change over time; confirm them in your tenant. Neither platform is recommended over another, and the standard applies equally to any identity provider.</w:t>
      </w:r>
    </w:p>
    <w:p>
      <w:pPr>
        <w:keepNext/>
        <w:spacing w:after="70" w:before="180"/>
      </w:pPr>
      <w:r>
        <w:rPr>
          <w:b/>
          <w:bCs/>
          <w:color w:val="15314B"/>
          <w:sz w:val="19"/>
          <w:szCs w:val="19"/>
        </w:rPr>
        <w:t xml:space="preserve">Where to start</w:t>
      </w:r>
    </w:p>
    <w:p>
      <w:pPr>
        <w:pStyle w:val="ListParagraph"/>
        <w:numPr>
          <w:ilvl w:val="0"/>
          <w:numId w:val="4"/>
        </w:numPr>
        <w:spacing w:after="60" w:line="262"/>
      </w:pPr>
      <w:r>
        <w:t xml:space="preserve">Produce the three exports in the section 17 callout before changing anything. The gap between what the dashboards suggest and what the exports show is your starting list.</w:t>
      </w:r>
    </w:p>
    <w:p>
      <w:pPr>
        <w:pStyle w:val="ListParagraph"/>
        <w:numPr>
          <w:ilvl w:val="0"/>
          <w:numId w:val="4"/>
        </w:numPr>
        <w:spacing w:after="60" w:line="262"/>
      </w:pPr>
      <w:r>
        <w:t xml:space="preserve">Create the two emergency access accounts and their exclusion group first, so that no later policy change can lock you out.</w:t>
      </w:r>
    </w:p>
    <w:p>
      <w:pPr>
        <w:pStyle w:val="ListParagraph"/>
        <w:numPr>
          <w:ilvl w:val="0"/>
          <w:numId w:val="4"/>
        </w:numPr>
        <w:spacing w:after="60" w:line="262"/>
      </w:pPr>
      <w:r>
        <w:t xml:space="preserve">Block legacy authentication next. It closes the largest bypass and usually breaks less than expected, provided you run it in report-only for a week and read the results.</w:t>
      </w:r>
    </w:p>
    <w:p>
      <w:pPr>
        <w:pStyle w:val="ListParagraph"/>
        <w:numPr>
          <w:ilvl w:val="0"/>
          <w:numId w:val="4"/>
        </w:numPr>
        <w:spacing w:after="60" w:line="262"/>
      </w:pPr>
      <w:r>
        <w:t xml:space="preserve">Then move privileged accounts to phishing-resistant methods and just-in-time roles, before the wider workforce.</w:t>
      </w:r>
    </w:p>
    <w:p>
      <w:pPr>
        <w:pStyle w:val="ListParagraph"/>
        <w:numPr>
          <w:ilvl w:val="0"/>
          <w:numId w:val="4"/>
        </w:numPr>
        <w:spacing w:after="60" w:line="262"/>
      </w:pPr>
      <w:r>
        <w:t xml:space="preserve">Rewrite the service desk recovery procedure before any communications campaign about MFA. A campaign tells attackers which pretext the service desk is about to hear.</w:t>
      </w:r>
    </w:p>
    <w:p>
      <w:pPr>
        <w:keepNext/>
        <w:spacing w:after="70" w:before="180"/>
      </w:pPr>
      <w:r>
        <w:rPr>
          <w:b/>
          <w:bCs/>
          <w:color w:val="15314B"/>
          <w:sz w:val="19"/>
          <w:szCs w:val="19"/>
        </w:rPr>
        <w:t xml:space="preserve">Microsoft Entra ID</w:t>
      </w:r>
    </w:p>
    <w:p>
      <w:pPr>
        <w:keepNext/>
        <w:keepLines/>
        <w:pBdr>
          <w:top w:val="single" w:color="D4DAE0" w:sz="4" w:space="9"/>
        </w:pBdr>
        <w:spacing w:after="46" w:before="110"/>
      </w:pPr>
      <w:r>
        <w:rPr>
          <w:b/>
          <w:bCs/>
          <w:color w:val="2E5C7A"/>
          <w:sz w:val="21"/>
          <w:szCs w:val="21"/>
        </w:rPr>
        <w:t xml:space="preserve">Policy-based enforcement</w:t>
      </w:r>
    </w:p>
    <w:p>
      <w:pPr>
        <w:spacing w:after="62" w:line="262"/>
        <w:ind w:left="172"/>
      </w:pPr>
      <w:r>
        <w:t xml:space="preserve">Second-factor and blocking requirements are configured as Conditional Access policies. Microsoft's guidance is not to enable or enforce per-user MFA when Conditional Access policies are in use, and it notes that a user's per-user state shows Disabled even when Conditional Access requires MFA, so the per-user state is not evidence of coverage either way. Tenants without a Conditional Access license can use security defaults instead.</w:t>
      </w:r>
    </w:p>
    <w:p>
      <w:pPr>
        <w:keepNext/>
        <w:keepLines/>
        <w:pBdr>
          <w:top w:val="single" w:color="D4DAE0" w:sz="4" w:space="9"/>
        </w:pBdr>
        <w:spacing w:after="46" w:before="170"/>
      </w:pPr>
      <w:r>
        <w:rPr>
          <w:b/>
          <w:bCs/>
          <w:color w:val="2E5C7A"/>
          <w:sz w:val="21"/>
          <w:szCs w:val="21"/>
        </w:rPr>
        <w:t xml:space="preserve">Report-only and On</w:t>
      </w:r>
    </w:p>
    <w:p>
      <w:pPr>
        <w:spacing w:after="62" w:line="262"/>
        <w:ind w:left="172"/>
      </w:pPr>
      <w:r>
        <w:t xml:space="preserve">Each Conditional Access policy has an Enable policy setting of Report-only, On or Off. Report-only evaluates and logs without enforcing; sign-in log entries show results such as Report-only: Success or Report-only: User action required. The section 17 evidence is the policy export with state On.</w:t>
      </w:r>
    </w:p>
    <w:p>
      <w:pPr>
        <w:keepNext/>
        <w:keepLines/>
        <w:pBdr>
          <w:top w:val="single" w:color="D4DAE0" w:sz="4" w:space="9"/>
        </w:pBdr>
        <w:spacing w:after="46" w:before="170"/>
      </w:pPr>
      <w:r>
        <w:rPr>
          <w:b/>
          <w:bCs/>
          <w:color w:val="2E5C7A"/>
          <w:sz w:val="21"/>
          <w:szCs w:val="21"/>
        </w:rPr>
        <w:t xml:space="preserve">Blocking legacy authentication</w:t>
      </w:r>
    </w:p>
    <w:p>
      <w:pPr>
        <w:spacing w:after="62" w:line="262"/>
        <w:ind w:left="172"/>
      </w:pPr>
      <w:r>
        <w:t xml:space="preserve">Microsoft's template policy targets all users and all resources, sets the Client apps condition to Exchange ActiveSync clients and Other clients, and grants Block access. Legacy sign-ins can be found in the sign-in logs by filtering on Client App.</w:t>
      </w:r>
    </w:p>
    <w:p>
      <w:pPr>
        <w:keepNext/>
        <w:keepLines/>
        <w:pBdr>
          <w:top w:val="single" w:color="D4DAE0" w:sz="4" w:space="9"/>
        </w:pBdr>
        <w:spacing w:after="46" w:before="170"/>
      </w:pPr>
      <w:r>
        <w:rPr>
          <w:b/>
          <w:bCs/>
          <w:color w:val="2E5C7A"/>
          <w:sz w:val="21"/>
          <w:szCs w:val="21"/>
        </w:rPr>
        <w:t xml:space="preserve">Phishing-resistant for administrators</w:t>
      </w:r>
    </w:p>
    <w:p>
      <w:pPr>
        <w:spacing w:after="62" w:line="262"/>
        <w:ind w:left="172"/>
      </w:pPr>
      <w:r>
        <w:t xml:space="preserve">Conditional Access can require an authentication strength rather than plain MFA. The built-in Phishing-resistant MFA strength allows Windows Hello for Business or platform credential, FIDO2 security key, and certificate-based authentication (multifactor). Target it at directory roles rather than named users.</w:t>
      </w:r>
    </w:p>
    <w:p>
      <w:pPr>
        <w:keepNext/>
        <w:keepLines/>
        <w:pBdr>
          <w:top w:val="single" w:color="D4DAE0" w:sz="4" w:space="9"/>
        </w:pBdr>
        <w:spacing w:after="46" w:before="170"/>
      </w:pPr>
      <w:r>
        <w:rPr>
          <w:b/>
          <w:bCs/>
          <w:color w:val="2E5C7A"/>
          <w:sz w:val="21"/>
          <w:szCs w:val="21"/>
        </w:rPr>
        <w:t xml:space="preserve">Registration versus enforcement</w:t>
      </w:r>
    </w:p>
    <w:p>
      <w:pPr>
        <w:spacing w:after="62" w:line="262"/>
        <w:ind w:left="172"/>
      </w:pPr>
      <w:r>
        <w:t xml:space="preserve">The User registration details report, under Authentication methods and Activity, shows per user whether they are MFA capable and which methods are registered. It shows registration only. Pair it with the policy export and the sign-in log for the reconciliation in Appendix A.</w:t>
      </w:r>
    </w:p>
    <w:p>
      <w:pPr>
        <w:keepNext/>
        <w:keepLines/>
        <w:pBdr>
          <w:top w:val="single" w:color="D4DAE0" w:sz="4" w:space="9"/>
        </w:pBdr>
        <w:spacing w:after="46" w:before="170"/>
      </w:pPr>
      <w:r>
        <w:rPr>
          <w:b/>
          <w:bCs/>
          <w:color w:val="2E5C7A"/>
          <w:sz w:val="21"/>
          <w:szCs w:val="21"/>
        </w:rPr>
        <w:t xml:space="preserve">Number matching</w:t>
      </w:r>
    </w:p>
    <w:p>
      <w:pPr>
        <w:spacing w:after="62" w:line="262"/>
        <w:ind w:left="172"/>
      </w:pPr>
      <w:r>
        <w:t xml:space="preserve">Microsoft documents that number matching is enabled for all Microsoft Authenticator push notifications and that users cannot opt out. One exception to check: the NPS extension, used with some VPN and RADIUS configurations, can be configured to fall back to approve or deny prompts.</w:t>
      </w:r>
    </w:p>
    <w:p>
      <w:pPr>
        <w:keepNext/>
        <w:keepLines/>
        <w:pBdr>
          <w:top w:val="single" w:color="D4DAE0" w:sz="4" w:space="9"/>
        </w:pBdr>
        <w:spacing w:after="46" w:before="170"/>
      </w:pPr>
      <w:r>
        <w:rPr>
          <w:b/>
          <w:bCs/>
          <w:color w:val="2E5C7A"/>
          <w:sz w:val="21"/>
          <w:szCs w:val="21"/>
        </w:rPr>
        <w:t xml:space="preserve">Temporary Access Pass</w:t>
      </w:r>
    </w:p>
    <w:p>
      <w:pPr>
        <w:spacing w:after="62" w:line="262"/>
        <w:ind w:left="172"/>
      </w:pPr>
      <w:r>
        <w:t xml:space="preserve">A time-limited passcode an administrator issues for onboarding or recovery so the user can register a new method. It can be set to one-time use, and its lifetime is configurable in the Authentication methods policy. This is the registration credential referred to in section 14.</w:t>
      </w:r>
    </w:p>
    <w:p>
      <w:pPr>
        <w:keepNext/>
        <w:keepLines/>
        <w:pBdr>
          <w:top w:val="single" w:color="D4DAE0" w:sz="4" w:space="9"/>
        </w:pBdr>
        <w:spacing w:after="46" w:before="170"/>
      </w:pPr>
      <w:r>
        <w:rPr>
          <w:b/>
          <w:bCs/>
          <w:color w:val="2E5C7A"/>
          <w:sz w:val="21"/>
          <w:szCs w:val="21"/>
        </w:rPr>
        <w:t xml:space="preserve">Emergency access accounts</w:t>
      </w:r>
    </w:p>
    <w:p>
      <w:pPr>
        <w:spacing w:after="62" w:line="262"/>
        <w:ind w:left="172"/>
      </w:pPr>
      <w:r>
        <w:t xml:space="preserve">Microsoft's guidance is to create at least two cloud-only accounts on the onmicrosoft.com domain, exclude them from Conditional Access policies that block or restrict sign-in, use a passkey (FIDO2) or certificate-based authentication, make the Global Administrator assignment active permanent in Privileged Identity Management, alert on every sign-in through Azure Monitor on the sign-in logs, and validate the accounts at least every 90 days.</w:t>
      </w:r>
    </w:p>
    <w:p>
      <w:pPr>
        <w:keepNext/>
        <w:keepLines/>
        <w:pBdr>
          <w:top w:val="single" w:color="D4DAE0" w:sz="4" w:space="9"/>
        </w:pBdr>
        <w:spacing w:after="46" w:before="170"/>
      </w:pPr>
      <w:r>
        <w:rPr>
          <w:b/>
          <w:bCs/>
          <w:color w:val="2E5C7A"/>
          <w:sz w:val="21"/>
          <w:szCs w:val="21"/>
        </w:rPr>
        <w:t xml:space="preserve">Just-in-time roles</w:t>
      </w:r>
    </w:p>
    <w:p>
      <w:pPr>
        <w:spacing w:after="62" w:line="262"/>
        <w:ind w:left="172"/>
      </w:pPr>
      <w:r>
        <w:t xml:space="preserve">Privileged Identity Management makes roles eligible rather than active and requires activation, with options for approval and justification.</w:t>
      </w:r>
    </w:p>
    <w:p>
      <w:pPr>
        <w:keepNext/>
        <w:keepLines/>
        <w:pBdr>
          <w:top w:val="single" w:color="D4DAE0" w:sz="4" w:space="9"/>
        </w:pBdr>
        <w:spacing w:after="46" w:before="170"/>
      </w:pPr>
      <w:r>
        <w:rPr>
          <w:b/>
          <w:bCs/>
          <w:color w:val="2E5C7A"/>
          <w:sz w:val="21"/>
          <w:szCs w:val="21"/>
        </w:rPr>
        <w:t xml:space="preserve">Session controls</w:t>
      </w:r>
    </w:p>
    <w:p>
      <w:pPr>
        <w:spacing w:after="62" w:line="262"/>
        <w:ind w:left="172"/>
      </w:pPr>
      <w:r>
        <w:t xml:space="preserve">Conditional Access session controls include Sign-in frequency, which can be set to an interval or to Every time, and Persistent browser session. Without a policy, Microsoft documents the default sign-in frequency as a rolling window of 90 days, which is far longer than section 12 permits.</w:t>
      </w:r>
    </w:p>
    <w:p>
      <w:pPr>
        <w:keepNext/>
        <w:keepLines/>
        <w:pBdr>
          <w:top w:val="single" w:color="D4DAE0" w:sz="4" w:space="9"/>
        </w:pBdr>
        <w:spacing w:after="46" w:before="170"/>
      </w:pPr>
      <w:r>
        <w:rPr>
          <w:b/>
          <w:bCs/>
          <w:color w:val="2E5C7A"/>
          <w:sz w:val="21"/>
          <w:szCs w:val="21"/>
        </w:rPr>
        <w:t xml:space="preserve">Guests</w:t>
      </w:r>
    </w:p>
    <w:p>
      <w:pPr>
        <w:spacing w:after="62" w:line="262"/>
        <w:ind w:left="172"/>
      </w:pPr>
      <w:r>
        <w:t xml:space="preserve">Cross-tenant access settings include an inbound trust option, Trust multifactor authentication from Microsoft Entra tenants, which allows Conditional Access to accept MFA completed in the guest's home tenant. Turning it on is the recorded trust decision in section 6.3.</w:t>
      </w:r>
    </w:p>
    <w:p>
      <w:pPr>
        <w:keepNext/>
        <w:keepLines/>
        <w:pBdr>
          <w:top w:val="single" w:color="D4DAE0" w:sz="4" w:space="9"/>
        </w:pBdr>
        <w:spacing w:after="46" w:before="170"/>
      </w:pPr>
      <w:r>
        <w:rPr>
          <w:b/>
          <w:bCs/>
          <w:color w:val="2E5C7A"/>
          <w:sz w:val="21"/>
          <w:szCs w:val="21"/>
        </w:rPr>
        <w:t xml:space="preserve">Service accounts</w:t>
      </w:r>
    </w:p>
    <w:p>
      <w:pPr>
        <w:spacing w:after="62" w:line="262"/>
        <w:ind w:left="172"/>
      </w:pPr>
      <w:r>
        <w:t xml:space="preserve">Microsoft recommends managed identities for Azure-hosted workloads, service principals otherwise, certificates in preference to client secrets, and not using user accounts as service accounts.</w:t>
      </w:r>
    </w:p>
    <w:p>
      <w:pPr>
        <w:keepNext/>
        <w:spacing w:after="70" w:before="180"/>
      </w:pPr>
      <w:r>
        <w:rPr>
          <w:b/>
          <w:bCs/>
          <w:color w:val="15314B"/>
          <w:sz w:val="19"/>
          <w:szCs w:val="19"/>
        </w:rPr>
        <w:t xml:space="preserve">Google Workspace</w:t>
      </w:r>
    </w:p>
    <w:p>
      <w:pPr>
        <w:keepNext/>
        <w:keepLines/>
        <w:pBdr>
          <w:top w:val="single" w:color="D4DAE0" w:sz="4" w:space="9"/>
        </w:pBdr>
        <w:spacing w:after="46" w:before="110"/>
      </w:pPr>
      <w:r>
        <w:rPr>
          <w:b/>
          <w:bCs/>
          <w:color w:val="2E5C7A"/>
          <w:sz w:val="21"/>
          <w:szCs w:val="21"/>
        </w:rPr>
        <w:t xml:space="preserve">Enforcement</w:t>
      </w:r>
    </w:p>
    <w:p>
      <w:pPr>
        <w:spacing w:after="62" w:line="262"/>
        <w:ind w:left="172"/>
      </w:pPr>
      <w:r>
        <w:t xml:space="preserve">2-Step Verification is configured in the Admin console under Security, then Authentication, then 2-step verification, by a super administrator. Allow users to turn on 2-Step Verification must be on before enforcement. Enforcement can be set to On, which starts immediately, or to a from date, in which case Google states it begins within 24 to 48 hours of that date.</w:t>
      </w:r>
    </w:p>
    <w:p>
      <w:pPr>
        <w:keepNext/>
        <w:keepLines/>
        <w:pBdr>
          <w:top w:val="single" w:color="D4DAE0" w:sz="4" w:space="9"/>
        </w:pBdr>
        <w:spacing w:after="46" w:before="170"/>
      </w:pPr>
      <w:r>
        <w:rPr>
          <w:b/>
          <w:bCs/>
          <w:color w:val="2E5C7A"/>
          <w:sz w:val="21"/>
          <w:szCs w:val="21"/>
        </w:rPr>
        <w:t xml:space="preserve">New user enrollment period</w:t>
      </w:r>
    </w:p>
    <w:p>
      <w:pPr>
        <w:spacing w:after="62" w:line="262"/>
        <w:ind w:left="172"/>
      </w:pPr>
      <w:r>
        <w:t xml:space="preserve">A new user enrollment period of between 1 day and 6 months can be set, during which a new user signs in with a password only. Set it to the shortest period that fits your onboarding, and not more than the 14 days in section 5.2.</w:t>
      </w:r>
    </w:p>
    <w:p>
      <w:pPr>
        <w:keepNext/>
        <w:keepLines/>
        <w:pBdr>
          <w:top w:val="single" w:color="D4DAE0" w:sz="4" w:space="9"/>
        </w:pBdr>
        <w:spacing w:after="46" w:before="170"/>
      </w:pPr>
      <w:r>
        <w:rPr>
          <w:b/>
          <w:bCs/>
          <w:color w:val="2E5C7A"/>
          <w:sz w:val="21"/>
          <w:szCs w:val="21"/>
        </w:rPr>
        <w:t xml:space="preserve">Allowed methods</w:t>
      </w:r>
    </w:p>
    <w:p>
      <w:pPr>
        <w:spacing w:after="62" w:line="262"/>
        <w:ind w:left="172"/>
      </w:pPr>
      <w:r>
        <w:t xml:space="preserve">Options are Any, Any except verification codes via text, phone call, and Only security key, where passkeys count alongside security keys. Use Only security key for administrators by placing them in their own organizational unit or group. Before moving users off text and call codes, check the login_verification audit event for users relying on them.</w:t>
      </w:r>
    </w:p>
    <w:p>
      <w:pPr>
        <w:keepNext/>
        <w:keepLines/>
        <w:pBdr>
          <w:top w:val="single" w:color="D4DAE0" w:sz="4" w:space="9"/>
        </w:pBdr>
        <w:spacing w:after="46" w:before="170"/>
      </w:pPr>
      <w:r>
        <w:rPr>
          <w:b/>
          <w:bCs/>
          <w:color w:val="2E5C7A"/>
          <w:sz w:val="21"/>
          <w:szCs w:val="21"/>
        </w:rPr>
        <w:t xml:space="preserve">Trusted devices</w:t>
      </w:r>
    </w:p>
    <w:p>
      <w:pPr>
        <w:spacing w:after="62" w:line="262"/>
        <w:ind w:left="172"/>
      </w:pPr>
      <w:r>
        <w:t xml:space="preserve">Allow user to trust the device lets users skip later 2-Step Verification prompts on that device. Google advises against it unless users frequently move between devices. Turning it off supports the session limits in section 12.</w:t>
      </w:r>
    </w:p>
    <w:p>
      <w:pPr>
        <w:keepNext/>
        <w:keepLines/>
        <w:pBdr>
          <w:top w:val="single" w:color="D4DAE0" w:sz="4" w:space="9"/>
        </w:pBdr>
        <w:spacing w:after="46" w:before="170"/>
      </w:pPr>
      <w:r>
        <w:rPr>
          <w:b/>
          <w:bCs/>
          <w:color w:val="2E5C7A"/>
          <w:sz w:val="21"/>
          <w:szCs w:val="21"/>
        </w:rPr>
        <w:t xml:space="preserve">Exceptions</w:t>
      </w:r>
    </w:p>
    <w:p>
      <w:pPr>
        <w:spacing w:after="62" w:line="262"/>
        <w:ind w:left="172"/>
      </w:pPr>
      <w:r>
        <w:t xml:space="preserve">Users can be placed in a group where 2-Step Verification is not enforced. Google describes this as not recommended as standard practice. Treat that group as an exclusion group under section 7.4.</w:t>
      </w:r>
    </w:p>
    <w:p>
      <w:pPr>
        <w:keepNext/>
        <w:keepLines/>
        <w:pBdr>
          <w:top w:val="single" w:color="D4DAE0" w:sz="4" w:space="9"/>
        </w:pBdr>
        <w:spacing w:after="46" w:before="170"/>
      </w:pPr>
      <w:r>
        <w:rPr>
          <w:b/>
          <w:bCs/>
          <w:color w:val="2E5C7A"/>
          <w:sz w:val="21"/>
          <w:szCs w:val="21"/>
        </w:rPr>
        <w:t xml:space="preserve">Evidence</w:t>
      </w:r>
    </w:p>
    <w:p>
      <w:pPr>
        <w:spacing w:after="62" w:line="262"/>
        <w:ind w:left="172"/>
      </w:pPr>
      <w:r>
        <w:t xml:space="preserve">Reporting, then User Reports, then Security shows each user's 2-Step Verification enrollment and enforcement status and number of security keys. Enforcement status, not enrollment, is the coverage column in Appendix A.</w:t>
      </w:r>
    </w:p>
    <w:p>
      <w:pPr>
        <w:keepNext/>
        <w:keepLines/>
        <w:pBdr>
          <w:top w:val="single" w:color="D4DAE0" w:sz="4" w:space="9"/>
        </w:pBdr>
        <w:spacing w:after="46" w:before="170"/>
      </w:pPr>
      <w:r>
        <w:rPr>
          <w:b/>
          <w:bCs/>
          <w:color w:val="2E5C7A"/>
          <w:sz w:val="21"/>
          <w:szCs w:val="21"/>
        </w:rPr>
        <w:t xml:space="preserve">Legacy authentication</w:t>
      </w:r>
    </w:p>
    <w:p>
      <w:pPr>
        <w:spacing w:after="62" w:line="262"/>
        <w:ind w:left="172"/>
      </w:pPr>
      <w:r>
        <w:t xml:space="preserve">Google turned off access for less secure apps, meaning password-only sign-in from third-party mail and calendar clients, for all Google Accounts on March 14, 2025, with OAuth replacing it. App passwords remain an exception to that change, so review and restrict them under section 7.3.</w:t>
      </w:r>
    </w:p>
    <w:p>
      <w:pPr>
        <w:keepNext/>
        <w:spacing w:after="70" w:before="180"/>
      </w:pPr>
      <w:r>
        <w:rPr>
          <w:b/>
          <w:bCs/>
          <w:color w:val="15314B"/>
          <w:sz w:val="19"/>
          <w:szCs w:val="19"/>
        </w:rPr>
        <w:t xml:space="preserve">Common mistakes found at assessment</w:t>
      </w:r>
    </w:p>
    <w:p>
      <w:pPr>
        <w:pStyle w:val="ListParagraph"/>
        <w:numPr>
          <w:ilvl w:val="0"/>
          <w:numId w:val="2"/>
        </w:numPr>
        <w:spacing w:after="60" w:line="262"/>
      </w:pPr>
      <w:r>
        <w:t xml:space="preserve">A coverage figure taken from a registration report presented as enforcement.</w:t>
      </w:r>
    </w:p>
    <w:p>
      <w:pPr>
        <w:pStyle w:val="ListParagraph"/>
        <w:numPr>
          <w:ilvl w:val="0"/>
          <w:numId w:val="2"/>
        </w:numPr>
        <w:spacing w:after="60" w:line="262"/>
      </w:pPr>
      <w:r>
        <w:t xml:space="preserve">A policy left in report-only mode since it was created.</w:t>
      </w:r>
    </w:p>
    <w:p>
      <w:pPr>
        <w:pStyle w:val="ListParagraph"/>
        <w:numPr>
          <w:ilvl w:val="0"/>
          <w:numId w:val="2"/>
        </w:numPr>
        <w:spacing w:after="60" w:line="262"/>
      </w:pPr>
      <w:r>
        <w:t xml:space="preserve">Administrators excluded from the main policy to avoid lockout, instead of relying on two emergency access accounts.</w:t>
      </w:r>
    </w:p>
    <w:p>
      <w:pPr>
        <w:pStyle w:val="ListParagraph"/>
        <w:numPr>
          <w:ilvl w:val="0"/>
          <w:numId w:val="2"/>
        </w:numPr>
        <w:spacing w:after="60" w:line="262"/>
      </w:pPr>
      <w:r>
        <w:t xml:space="preserve">Emergency access accounts with no alert, or an alert sent to a mailbox nobody reads.</w:t>
      </w:r>
    </w:p>
    <w:p>
      <w:pPr>
        <w:pStyle w:val="ListParagraph"/>
        <w:numPr>
          <w:ilvl w:val="0"/>
          <w:numId w:val="2"/>
        </w:numPr>
        <w:spacing w:after="60" w:line="262"/>
      </w:pPr>
      <w:r>
        <w:t xml:space="preserve">Per-user MFA left enforced alongside Conditional Access, producing inconsistent prompts and a misleading per-user state report.</w:t>
      </w:r>
    </w:p>
    <w:p>
      <w:pPr>
        <w:pStyle w:val="ListParagraph"/>
        <w:numPr>
          <w:ilvl w:val="0"/>
          <w:numId w:val="2"/>
        </w:numPr>
        <w:spacing w:after="60" w:line="262"/>
      </w:pPr>
      <w:r>
        <w:t xml:space="preserve">A scanner, printer or line-of-business integration signing in with a user account over a legacy mail protocol, excluded to keep it working.</w:t>
      </w:r>
    </w:p>
    <w:p>
      <w:pPr>
        <w:pStyle w:val="ListParagraph"/>
        <w:numPr>
          <w:ilvl w:val="0"/>
          <w:numId w:val="2"/>
        </w:numPr>
        <w:spacing w:after="60" w:line="262"/>
      </w:pPr>
      <w:r>
        <w:t xml:space="preserve">A service desk that verifies callers by date of birth and employee number.</w:t>
      </w:r>
    </w:p>
    <w:p>
      <w:pPr>
        <w:pStyle w:val="Heading1"/>
        <w:keepNext/>
        <w:keepLines/>
        <w:pageBreakBefore/>
        <w:pBdr>
          <w:bottom w:val="single" w:color="D4DAE0" w:sz="4" w:space="4"/>
        </w:pBdr>
        <w:spacing w:after="140" w:before="300"/>
      </w:pPr>
      <w:bookmarkStart w:name="_RG0055" w:id="1"/>
      <w:r>
        <w:t xml:space="preserve">Glossary</w:t>
      </w:r>
      <w:bookmarkEnd w:id="1"/>
    </w:p>
    <w:p>
      <w:pPr>
        <w:pStyle w:val="Heading2"/>
        <w:keepNext/>
        <w:keepLines/>
        <w:spacing w:after="90" w:before="220"/>
      </w:pPr>
      <w:bookmarkStart w:name="_RG0056" w:id="1"/>
      <w:r>
        <w:t xml:space="preserve">Acronyms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7602"/>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Acronym</w:t>
            </w:r>
          </w:p>
        </w:tc>
        <w:tc>
          <w:tcPr>
            <w:tcW w:type="dxa" w:w="760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Meaning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AAL</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Authenticator assurance level, as defined in NIST SP 800-63B</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API</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Application programming interface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CISA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Cybersecurity and Infrastructure Security Agency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FIDO2</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The FIDO Alliance specifications for passwordless and second-factor authentication, comprising WebAuthn and CTAP</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IMAP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Internet Message Access Protocol</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MFA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Multi-factor authentication</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NIST</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National Institute of Standards and Technology</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NPS</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Network Policy Server</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OTP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One-time passcode</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PKI</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Public key infrastructure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POP</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Post Office Protocol</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SIM</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Subscriber identity module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SMS</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Short Message Service</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SMTP</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Simple Mail Transfer Protocol</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SSO</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Single sign-on</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TAP</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Temporary Access Pass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VPN</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Virtual private network</w:t>
            </w:r>
          </w:p>
        </w:tc>
      </w:tr>
    </w:tbl>
    <w:p>
      <w:pPr>
        <w:spacing w:after="120" w:line="120"/>
      </w:pPr>
      <w:r>
        <w:rPr>
          <w:sz w:val="4"/>
          <w:szCs w:val="4"/>
        </w:rPr>
        <w:t xml:space="preserve"/>
      </w:r>
    </w:p>
    <w:p>
      <w:pPr>
        <w:pStyle w:val="Heading2"/>
        <w:keepNext/>
        <w:keepLines/>
        <w:spacing w:after="90" w:before="220"/>
      </w:pPr>
      <w:bookmarkStart w:name="_RG0057" w:id="1"/>
      <w:r>
        <w:t xml:space="preserve">Definitions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7213"/>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Term</w:t>
            </w:r>
          </w:p>
        </w:tc>
        <w:tc>
          <w:tcPr>
            <w:tcW w:type="dxa" w:w="72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Definition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Authenticator</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Something the account holder possesses or controls, such as a security key, an app on a phone, or a password, that is used to prove control of an account.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Authentication method</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type of authenticator registered against an account in the identity provider.</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Break-glass account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See emergency access account.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Conditional access policy</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rule in the identity provider that evaluates conditions at sign-in, such as user, application, device and location, and grants, blocks or adds requirements to access. Also called a context-aware access policy.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Emergency access account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cloud-only privileged account held in reserve to regain administrative access when normal sign-in fails, excluded from blocking policies and monitored for every use.</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Enforced</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state in which a policy in the On state requires a second factor for an account on every interactive sign-in path, with no exclusion removing it.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Exclusion group</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group whose members are excluded from one or more access policies. Membership is limited to emergency access accounts and approved exceptions.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Just-in-time access</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Privileged roles held as eligible and activated for a limited period when needed, rather than assigned permanently.</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Legacy authentication</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Sign-in protocols that send only a username and password and cannot present a second factor.</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Number matching</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A push approval method in which the user must enter a value displayed on the sign-in screen into the authenticator app before the approval is accepted.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Phishing-resistant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An authenticator whose response is bound to the genuine site or service, so that a sign-in relayed through a lookalike site fails. FIDO2 security keys, passkeys and certificate-based authentication are phishing-resistant; codes and push approvals are not.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Push bombing</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Sending repeated second-factor approval requests to an account holder in the expectation that one will be approved. Also called MFA fatigue.</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Recovery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Any process that resets a password, adds or replaces an authenticator, or issues a temporary credential for an account whose holder cannot authenticate normally.</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Registered</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state in which an authenticator is recorded against an account. It does not establish that the authenticator is required at sign-in.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Report-only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policy state in which the policy is evaluated and its result logged but not enforced.</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Session token</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credential issued after sign-in that allows continued access without re-authenticating until it expires or is revoked.</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Workload identity</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non-human identity used by software, such as a managed identity, service principal or application registration.</w:t>
            </w:r>
          </w:p>
        </w:tc>
      </w:tr>
    </w:tbl>
    <w:p>
      <w:pPr>
        <w:spacing w:after="120" w:line="120"/>
      </w:pPr>
      <w:r>
        <w:rPr>
          <w:sz w:val="4"/>
          <w:szCs w:val="4"/>
        </w:rPr>
        <w:t xml:space="preserve"/>
      </w:r>
    </w:p>
    <w:p>
      <w:pPr>
        <w:pStyle w:val="Heading1"/>
        <w:keepNext/>
        <w:keepLines/>
        <w:pBdr>
          <w:bottom w:val="single" w:color="D4DAE0" w:sz="4" w:space="4"/>
        </w:pBdr>
        <w:spacing w:after="140" w:before="300"/>
      </w:pPr>
      <w:bookmarkStart w:name="_RG0058" w:id="1"/>
      <w:r>
        <w:t xml:space="preserve">Record of changes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754"/>
        <w:gridCol w:w="4483"/>
        <w:gridCol w:w="2340"/>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 of change</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1.0</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October 2026</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First issue.</w:t>
            </w: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sectPr>
      <w:headerReference w:type="default" r:id="rId7"/>
      <w:headerReference w:type="first" r:id="rId8"/>
      <w:footerReference w:type="default" r:id="rId9"/>
      <w:footerReference w:type="first" r:id="rId10"/>
      <w:pgSz w:w="11906" w:h="16838" w:orient="portrait"/>
      <w:pgMar w:top="1080" w:right="1080" w:bottom="100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STD-AUT-001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STD-AUT-001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color w:val="60686F"/>
        <w:sz w:val="14"/>
        <w:szCs w:val="14"/>
      </w:rPr>
      <w:t xml:space="preserve">[Company Logo]</w:t>
    </w:r>
    <w:r>
      <w:rPr>
        <w:color w:val="60686F"/>
        <w:sz w:val="14"/>
        <w:szCs w:val="14"/>
      </w:rPr>
      <w:t xml:space="preserve">   ·   </w:t>
    </w:r>
    <w:r>
      <w:rPr>
        <w:color w:val="60686F"/>
        <w:sz w:val="14"/>
        <w:szCs w:val="14"/>
      </w:rPr>
      <w:t xml:space="preserve">STD-AUT-001</w:t>
    </w:r>
    <w:r>
      <w:rPr>
        <w:color w:val="60686F"/>
        <w:sz w:val="14"/>
        <w:szCs w:val="14"/>
      </w:rPr>
      <w:t xml:space="preserve">   ·   </w:t>
    </w:r>
    <w:r>
      <w:rPr>
        <w:color w:val="60686F"/>
        <w:sz w:val="14"/>
        <w:szCs w:val="14"/>
      </w:rPr>
      <w:t xml:space="preserve">Authentication Standard</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Internal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i/>
        <w:iCs/>
        <w:color w:val="60686F"/>
        <w:sz w:val="14"/>
        <w:szCs w:val="14"/>
      </w:rPr>
      <w:t xml:space="preserve">This document and all information contained herein is the property of [Organization Name] and is intended for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A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GFooter">
    <w:name w:val="RG Footer"/>
    <w:basedOn w:val="Normal"/>
    <w:rPr>
      <w:rFonts w:ascii="Arial" w:cs="Arial" w:eastAsia="Arial" w:hAnsi="Arial"/>
      <w:color w:val="60686F"/>
      <w:sz w:val="14"/>
      <w:szCs w:val="14"/>
    </w:rPr>
  </w:style>
  <w:style w:type="paragraph" w:styleId="Heading1">
    <w:name w:val="Heading 1"/>
    <w:basedOn w:val="Normal"/>
    <w:next w:val="Normal"/>
    <w:qFormat/>
    <w:pPr>
      <w:outlineLvl w:val="0"/>
    </w:pPr>
    <w:rPr>
      <w:rFonts w:ascii="Arial" w:cs="Arial" w:eastAsia="Arial" w:hAnsi="Arial"/>
      <w:b/>
      <w:bCs/>
      <w:color w:val="15314B"/>
      <w:sz w:val="27"/>
      <w:szCs w:val="27"/>
    </w:rPr>
  </w:style>
  <w:style w:type="paragraph" w:styleId="Heading2">
    <w:name w:val="Heading 2"/>
    <w:basedOn w:val="Normal"/>
    <w:next w:val="Normal"/>
    <w:qFormat/>
    <w:pPr>
      <w:outlineLvl w:val="1"/>
    </w:pPr>
    <w:rPr>
      <w:rFonts w:ascii="Arial" w:cs="Arial" w:eastAsia="Arial" w:hAnsi="Arial"/>
      <w:b/>
      <w:bCs/>
      <w:color w:val="2E5C7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Authentication Standard</dc:title>
  <dc:subject>STD-AUT-001</dc:subject>
  <dc:creator>RootGuard Security</dc:creator>
  <dc:description>Authentication Standard. How every account proves who is signing in, and how that is proven. Free to use and to share.</dc:description>
  <cp:lastModifiedBy>RootGuard Security</cp:lastModifiedBy>
  <cp:revision>1</cp:revision>
  <dcterms:created xsi:type="dcterms:W3CDTF">2026-10-16T13:23:02.677Z</dcterms:created>
  <dcterms:modified xsi:type="dcterms:W3CDTF">2026-10-16T13:23:02.677Z</dcterms:modified>
</cp:coreProperties>
</file>

<file path=docProps/custom.xml><?xml version="1.0" encoding="utf-8"?>
<Properties xmlns="http://schemas.openxmlformats.org/officeDocument/2006/custom-properties" xmlns:vt="http://schemas.openxmlformats.org/officeDocument/2006/docPropsVTypes"/>
</file>